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5"/>
        <w:pBdr>
          <w:top w:val="none" w:sz="0" w:space="0" w:color="auto"/>
          <w:left w:val="none" w:sz="0" w:space="0" w:color="auto"/>
          <w:bottom w:val="none" w:sz="0" w:space="0" w:color="auto"/>
          <w:right w:val="none" w:sz="0" w:space="0" w:color="auto"/>
        </w:pBdr>
        <w:ind w:firstLine="0"/>
        <w:jc w:val="center"/>
        <w:rPr>
          <w:rFonts w:ascii="宋体" w:eastAsia="宋体"/>
          <w:b w:val="0"/>
          <w:bCs w:val="0"/>
          <w:i w:val="0"/>
          <w:iCs w:val="0"/>
          <w:caps w:val="0"/>
          <w:smallCaps w:val="0"/>
          <w:vanish w:val="0"/>
          <w:color w:val="000000"/>
          <w:spacing w:val="0"/>
          <w:sz w:val="24"/>
          <w:szCs w:val="24"/>
        </w:rPr>
      </w:pPr>
      <w:r>
        <w:rPr>
          <w:rFonts w:ascii="微软雅黑" w:eastAsia="微软雅黑" w:cs="宋体"/>
          <w:color w:val="333333"/>
          <w:kern w:val="0"/>
          <w:sz w:val="42"/>
          <w:szCs w:val="42"/>
        </w:rPr>
        <w:t>津关公告2019年第7号（中华人民共和国天津海关公告）</w:t>
      </w:r>
    </w:p>
    <w:p>
      <w:pPr>
        <w:pStyle w:val="15"/>
        <w:pBdr>
          <w:top w:val="none" w:sz="0" w:space="0" w:color="auto"/>
          <w:left w:val="none" w:sz="0" w:space="0" w:color="auto"/>
          <w:bottom w:val="none" w:sz="0" w:space="0" w:color="auto"/>
          <w:right w:val="none" w:sz="0" w:space="0" w:color="auto"/>
        </w:pBdr>
        <w:ind w:firstLine="42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000000"/>
          <w:spacing w:val="0"/>
          <w:sz w:val="24"/>
          <w:szCs w:val="24"/>
        </w:rPr>
        <w:t>为促进天津海关关区保税仓库、出口监管仓库（以下简称“两仓”）建设的健康、有序发展，根据《中华人民共和国海关对保税仓库及所存货物的管理规定》（海关总署令第105号发布，根据海关总署令第198号、227号、235号、240号修改）、《中华人民共和国海关对出口监管仓库及所存货物的管理办法》（海关总署令第133号发布，根据海关总署令第227号、235号、240号、243号修改）有关规定，结合关区实际情况，制定《天津海关保税仓库、出口监管仓库布局规划（2019-2021年）》，相关内容公告如下：</w:t>
      </w:r>
    </w:p>
    <w:p>
      <w:pPr>
        <w:pStyle w:val="15"/>
        <w:pBdr>
          <w:top w:val="none" w:sz="0" w:space="0" w:color="auto"/>
          <w:left w:val="none" w:sz="0" w:space="0" w:color="auto"/>
          <w:bottom w:val="none" w:sz="0" w:space="0" w:color="auto"/>
          <w:right w:val="none" w:sz="0" w:space="0" w:color="auto"/>
        </w:pBdr>
        <w:ind w:firstLine="42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000000"/>
          <w:spacing w:val="0"/>
          <w:sz w:val="24"/>
          <w:szCs w:val="24"/>
        </w:rPr>
        <w:t>一、适用范围</w:t>
      </w:r>
    </w:p>
    <w:p>
      <w:pPr>
        <w:pStyle w:val="15"/>
        <w:pBdr>
          <w:top w:val="none" w:sz="0" w:space="0" w:color="auto"/>
          <w:left w:val="none" w:sz="0" w:space="0" w:color="auto"/>
          <w:bottom w:val="none" w:sz="0" w:space="0" w:color="auto"/>
          <w:right w:val="none" w:sz="0" w:space="0" w:color="auto"/>
        </w:pBdr>
        <w:ind w:firstLine="42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auto"/>
          <w:spacing w:val="0"/>
          <w:sz w:val="24"/>
          <w:szCs w:val="24"/>
        </w:rPr>
        <w:t>本规划适用于天津海关关区范围内。</w:t>
      </w:r>
    </w:p>
    <w:p>
      <w:pPr>
        <w:pStyle w:val="15"/>
        <w:pBdr>
          <w:top w:val="none" w:sz="0" w:space="0" w:color="auto"/>
          <w:left w:val="none" w:sz="0" w:space="0" w:color="auto"/>
          <w:bottom w:val="none" w:sz="0" w:space="0" w:color="auto"/>
          <w:right w:val="none" w:sz="0" w:space="0" w:color="auto"/>
        </w:pBdr>
        <w:ind w:firstLine="42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auto"/>
          <w:spacing w:val="0"/>
          <w:sz w:val="24"/>
          <w:szCs w:val="24"/>
        </w:rPr>
        <w:t>本规划适用的保税仓库为公用型保税仓库；本规划适用的出口监管仓库为出口配送型仓库和国内结转型仓库。</w:t>
      </w:r>
    </w:p>
    <w:p>
      <w:pPr>
        <w:pStyle w:val="15"/>
        <w:pBdr>
          <w:top w:val="none" w:sz="0" w:space="0" w:color="auto"/>
          <w:left w:val="none" w:sz="0" w:space="0" w:color="auto"/>
          <w:bottom w:val="none" w:sz="0" w:space="0" w:color="auto"/>
          <w:right w:val="none" w:sz="0" w:space="0" w:color="auto"/>
        </w:pBdr>
        <w:ind w:firstLine="42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000000"/>
          <w:spacing w:val="0"/>
          <w:sz w:val="24"/>
          <w:szCs w:val="24"/>
        </w:rPr>
        <w:t>二、规划原则</w:t>
      </w:r>
    </w:p>
    <w:p>
      <w:pPr>
        <w:pStyle w:val="15"/>
        <w:pBdr>
          <w:top w:val="none" w:sz="0" w:space="0" w:color="auto"/>
          <w:left w:val="none" w:sz="0" w:space="0" w:color="auto"/>
          <w:bottom w:val="none" w:sz="0" w:space="0" w:color="auto"/>
          <w:right w:val="none" w:sz="0" w:space="0" w:color="auto"/>
        </w:pBdr>
        <w:ind w:firstLine="42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auto"/>
          <w:spacing w:val="0"/>
          <w:sz w:val="24"/>
          <w:szCs w:val="24"/>
        </w:rPr>
        <w:t>（一）“两仓”设立应与天津市经济社会发展实际相结合，以天津市上年度外贸进出口和加工贸易进出口的发展情况以及各区已有的“两仓”建设与发展水平为参考；</w:t>
      </w:r>
    </w:p>
    <w:p>
      <w:pPr>
        <w:pStyle w:val="15"/>
        <w:pBdr>
          <w:top w:val="none" w:sz="0" w:space="0" w:color="auto"/>
          <w:left w:val="none" w:sz="0" w:space="0" w:color="auto"/>
          <w:bottom w:val="none" w:sz="0" w:space="0" w:color="auto"/>
          <w:right w:val="none" w:sz="0" w:space="0" w:color="auto"/>
        </w:pBdr>
        <w:ind w:firstLine="42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auto"/>
          <w:spacing w:val="0"/>
          <w:sz w:val="24"/>
          <w:szCs w:val="24"/>
        </w:rPr>
        <w:t>（二）坚持按需设立，适度控制增量、优化存量和兼顾地区发展平衡；</w:t>
      </w:r>
    </w:p>
    <w:p>
      <w:pPr>
        <w:pStyle w:val="15"/>
        <w:pBdr>
          <w:top w:val="none" w:sz="0" w:space="0" w:color="auto"/>
          <w:left w:val="none" w:sz="0" w:space="0" w:color="auto"/>
          <w:bottom w:val="none" w:sz="0" w:space="0" w:color="auto"/>
          <w:right w:val="none" w:sz="0" w:space="0" w:color="auto"/>
        </w:pBdr>
        <w:ind w:firstLine="42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auto"/>
          <w:spacing w:val="0"/>
          <w:sz w:val="24"/>
          <w:szCs w:val="24"/>
        </w:rPr>
        <w:t>（三）优先支持有利于实施国家和地方外向型经济发展战略规划的地区；</w:t>
      </w:r>
    </w:p>
    <w:p>
      <w:pPr>
        <w:pStyle w:val="15"/>
        <w:pBdr>
          <w:top w:val="none" w:sz="0" w:space="0" w:color="auto"/>
          <w:left w:val="none" w:sz="0" w:space="0" w:color="auto"/>
          <w:bottom w:val="none" w:sz="0" w:space="0" w:color="auto"/>
          <w:right w:val="none" w:sz="0" w:space="0" w:color="auto"/>
        </w:pBdr>
        <w:ind w:firstLine="42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auto"/>
          <w:spacing w:val="0"/>
          <w:sz w:val="24"/>
          <w:szCs w:val="24"/>
        </w:rPr>
        <w:t>（四）有利于加工贸易转型升级、优化升级和承接产业转移；</w:t>
      </w:r>
    </w:p>
    <w:p>
      <w:pPr>
        <w:pStyle w:val="15"/>
        <w:pBdr>
          <w:top w:val="none" w:sz="0" w:space="0" w:color="auto"/>
          <w:left w:val="none" w:sz="0" w:space="0" w:color="auto"/>
          <w:bottom w:val="none" w:sz="0" w:space="0" w:color="auto"/>
          <w:right w:val="none" w:sz="0" w:space="0" w:color="auto"/>
        </w:pBdr>
        <w:ind w:firstLine="42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auto"/>
          <w:spacing w:val="0"/>
          <w:sz w:val="24"/>
          <w:szCs w:val="24"/>
        </w:rPr>
        <w:t>（五）有利于做大做强物流产业，带动、辐射周边区域产业链延伸和协调发展；</w:t>
      </w:r>
    </w:p>
    <w:p>
      <w:pPr>
        <w:pStyle w:val="15"/>
        <w:pBdr>
          <w:top w:val="none" w:sz="0" w:space="0" w:color="auto"/>
          <w:left w:val="none" w:sz="0" w:space="0" w:color="auto"/>
          <w:bottom w:val="none" w:sz="0" w:space="0" w:color="auto"/>
          <w:right w:val="none" w:sz="0" w:space="0" w:color="auto"/>
        </w:pBdr>
        <w:ind w:firstLine="42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auto"/>
          <w:spacing w:val="0"/>
          <w:sz w:val="24"/>
          <w:szCs w:val="24"/>
        </w:rPr>
        <w:t>（六）“两仓”选址优先考虑在临近港口、铁路场站、高速公路等交通枢纽或保税物流需求强烈、加工贸易产业集聚的地方；</w:t>
      </w:r>
    </w:p>
    <w:p>
      <w:pPr>
        <w:pStyle w:val="15"/>
        <w:pBdr>
          <w:top w:val="none" w:sz="0" w:space="0" w:color="auto"/>
          <w:left w:val="none" w:sz="0" w:space="0" w:color="auto"/>
          <w:bottom w:val="none" w:sz="0" w:space="0" w:color="auto"/>
          <w:right w:val="none" w:sz="0" w:space="0" w:color="auto"/>
        </w:pBdr>
        <w:ind w:firstLine="42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auto"/>
          <w:spacing w:val="0"/>
          <w:sz w:val="24"/>
          <w:szCs w:val="24"/>
        </w:rPr>
        <w:t>（七）“两仓”应当设立在设有海关机构、便于海关监管的区域。</w:t>
      </w:r>
    </w:p>
    <w:p>
      <w:pPr>
        <w:pStyle w:val="15"/>
        <w:pBdr>
          <w:top w:val="none" w:sz="0" w:space="0" w:color="auto"/>
          <w:left w:val="none" w:sz="0" w:space="0" w:color="auto"/>
          <w:bottom w:val="none" w:sz="0" w:space="0" w:color="auto"/>
          <w:right w:val="none" w:sz="0" w:space="0" w:color="auto"/>
        </w:pBdr>
        <w:ind w:firstLine="42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auto"/>
          <w:spacing w:val="0"/>
          <w:sz w:val="24"/>
          <w:szCs w:val="24"/>
        </w:rPr>
        <w:t>天津海关可根据当地保税仓储等业务发展需求情况对布局规划进行适时动态调整。</w:t>
      </w:r>
    </w:p>
    <w:p>
      <w:pPr>
        <w:pStyle w:val="15"/>
        <w:pBdr>
          <w:top w:val="none" w:sz="0" w:space="0" w:color="auto"/>
          <w:left w:val="none" w:sz="0" w:space="0" w:color="auto"/>
          <w:bottom w:val="none" w:sz="0" w:space="0" w:color="auto"/>
          <w:right w:val="none" w:sz="0" w:space="0" w:color="auto"/>
        </w:pBdr>
        <w:ind w:firstLine="0"/>
        <w:jc w:val="right"/>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auto"/>
          <w:spacing w:val="0"/>
          <w:sz w:val="24"/>
          <w:szCs w:val="24"/>
        </w:rPr>
        <w:t>                                                       天津海关</w:t>
      </w:r>
    </w:p>
    <w:p>
      <w:pPr>
        <w:pStyle w:val="15"/>
        <w:pBdr>
          <w:top w:val="none" w:sz="0" w:space="0" w:color="auto"/>
          <w:left w:val="none" w:sz="0" w:space="0" w:color="auto"/>
          <w:bottom w:val="none" w:sz="0" w:space="0" w:color="auto"/>
          <w:right w:val="none" w:sz="0" w:space="0" w:color="auto"/>
        </w:pBdr>
        <w:ind w:firstLine="0"/>
        <w:jc w:val="right"/>
        <w:rPr>
          <w:rFonts w:ascii="Arial" w:hAnsi="Arial"/>
          <w:color w:val="222222"/>
          <w:sz w:val="21"/>
        </w:rPr>
      </w:pPr>
      <w:r>
        <w:rPr>
          <w:rFonts w:ascii="宋体" w:eastAsia="宋体" w:hint="eastAsia"/>
          <w:b w:val="0"/>
          <w:bCs w:val="0"/>
          <w:i w:val="0"/>
          <w:iCs w:val="0"/>
          <w:caps w:val="0"/>
          <w:smallCaps w:val="0"/>
          <w:vanish w:val="0"/>
          <w:color w:val="auto"/>
          <w:spacing w:val="0"/>
          <w:sz w:val="24"/>
          <w:szCs w:val="24"/>
        </w:rPr>
        <w:t>                                                                                                                                         2019年9月12日</w:t>
      </w:r>
    </w:p>
    <w:sectPr>
      <w:pgSz w:w="11906" w:h="16838"/>
      <w:pgMar w:top="1440" w:right="1800" w:bottom="1440" w:left="1800" w:header="851" w:footer="992" w:gutter="0"/>
      <w:docGrid w:type="lines" w:linePitch="326" w:charSpace="-4915"/>
    </w:sectPr>
  </w:body>
</w:document>
</file>

<file path=word/fontTable.xml><?xml version="1.0" encoding="utf-8"?>
<w:fonts xmlns:w="http://schemas.openxmlformats.org/wordprocessingml/2006/main" xmlns:r="http://schemas.openxmlformats.org/officeDocument/2006/relationships">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auto"/>
    <w:pitch w:val="variable"/>
    <w:sig w:usb0="00007A87" w:usb1="80000000" w:usb2="00000008" w:usb3="00000000" w:csb0="400001FF" w:csb1="FFFF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00000000" w:usb2="00000000" w:usb3="00000000" w:csb0="8000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w:abstractNum w:abstractNumId="0">
    <w:nsid w:val="0FFFFF80"/>
    <w:multiLevelType w:val="singleLevel"/>
    <w:tmpl w:val="00000000"/>
    <w:lvl w:ilvl="0">
      <w:start w:val="1"/>
      <w:numFmt w:val="bullet"/>
      <w:lvlRestart w:val="0"/>
      <w:lvlText w:val=""/>
      <w:lvlJc w:val="left"/>
      <w:pPr>
        <w:tabs>
          <w:tab w:val="num" w:pos="2040"/>
        </w:tabs>
        <w:ind w:left="2040" w:hanging="360"/>
      </w:pPr>
      <w:rPr>
        <w:rFonts w:ascii="Wingdings" w:hAnsi="Wingdings" w:hint="default"/>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240" w:lineRule="auto"/>
      <w:jc w:val="left"/>
    </w:pPr>
    <w:rPr>
      <w:rFonts w:ascii="宋体" w:eastAsia="宋体"/>
      <w:kern w:val="2"/>
      <w:sz w:val="24"/>
      <w:szCs w:val="21"/>
      <w:lang w:val="en-US" w:eastAsia="zh-CN"/>
    </w:rPr>
  </w:style>
  <w:style w:type="paragraph" w:styleId="2">
    <w:name w:val="heading 2"/>
    <w:basedOn w:val="0"/>
    <w:pPr>
      <w:widowControl/>
      <w:spacing w:before="100" w:beforeAutospacing="1" w:after="100" w:afterAutospacing="1"/>
      <w:jc w:val="left"/>
      <w:outlineLvl w:val="1"/>
    </w:pPr>
    <w:rPr>
      <w:rFonts w:ascii="宋体" w:eastAsia="宋体" w:cs="宋体"/>
      <w:b/>
      <w:bCs/>
      <w:kern w:val="0"/>
      <w:sz w:val="36"/>
      <w:szCs w:val="36"/>
    </w:rPr>
  </w:style>
  <w:style w:type="character" w:default="1" w:styleId="10">
    <w:name w:val="Default Paragraph Font"/>
  </w:style>
  <w:style w:type="paragraph" w:styleId="15">
    <w:name w:val="Normal (Web)"/>
    <w:next w:val="92"/>
    <w:pPr>
      <w:widowControl w:val="0"/>
      <w:spacing w:before="100" w:beforeAutospacing="1" w:after="100" w:afterAutospacing="1" w:line="240" w:lineRule="auto"/>
      <w:jc w:val="left"/>
    </w:pPr>
    <w:rPr>
      <w:rFonts w:ascii="宋体" w:eastAsia="宋体"/>
      <w:kern w:val="2"/>
      <w:sz w:val="24"/>
      <w:szCs w:val="21"/>
      <w:lang w:val="en-US" w:eastAsia="zh-CN"/>
    </w:rPr>
  </w:style>
  <w:style w:type="character" w:styleId="16">
    <w:name w:val="Hyperlink"/>
    <w:rPr>
      <w:color w:val="0000FF"/>
      <w:u w:val="single"/>
    </w:rPr>
  </w:style>
  <w:style w:type="paragraph" w:styleId="17">
    <w:name w:val="E-mail Signature"/>
    <w:basedOn w:val="0"/>
  </w:style>
  <w:style w:type="paragraph" w:customStyle="1" w:styleId="18">
    <w:name w:val="样式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19">
    <w:name w:val="样式 1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20">
    <w:name w:val="样式 2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21">
    <w:name w:val="样式 3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22">
    <w:name w:val="样式 4 小四"/>
    <w:pPr>
      <w:widowControl w:val="0"/>
      <w:spacing w:line="240" w:lineRule="auto"/>
      <w:jc w:val="left"/>
    </w:pPr>
    <w:rPr>
      <w:rFonts w:ascii="宋体" w:eastAsia="宋体" w:cs="Times New Roman"/>
      <w:kern w:val="2"/>
      <w:sz w:val="24"/>
      <w:szCs w:val="21"/>
      <w:lang w:val="en-US" w:eastAsia="zh-CN" w:bidi="ar-SA"/>
    </w:rPr>
  </w:style>
  <w:style w:type="paragraph" w:customStyle="1" w:styleId="23">
    <w:name w:val="样式 5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24">
    <w:name w:val="样式 6 小四"/>
    <w:pPr>
      <w:widowControl w:val="0"/>
      <w:spacing w:line="240" w:lineRule="auto"/>
      <w:jc w:val="left"/>
    </w:pPr>
    <w:rPr>
      <w:rFonts w:ascii="宋体" w:eastAsia="宋体" w:cs="Times New Roman"/>
      <w:kern w:val="2"/>
      <w:sz w:val="24"/>
      <w:szCs w:val="21"/>
      <w:lang w:val="en-US" w:eastAsia="zh-CN" w:bidi="ar-SA"/>
    </w:rPr>
  </w:style>
  <w:style w:type="paragraph" w:customStyle="1" w:styleId="25">
    <w:name w:val="样式 7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styleId="26">
    <w:name w:val="Body Text 3"/>
    <w:basedOn w:val="0"/>
    <w:pPr>
      <w:spacing w:after="120"/>
    </w:pPr>
    <w:rPr>
      <w:sz w:val="16"/>
    </w:rPr>
  </w:style>
  <w:style w:type="character" w:styleId="27">
    <w:name w:val="FollowedHyperlink"/>
    <w:basedOn w:val="10"/>
    <w:rPr>
      <w:color w:val="800080"/>
      <w:u w:val="single"/>
    </w:rPr>
  </w:style>
  <w:style w:type="paragraph" w:customStyle="1" w:styleId="28">
    <w:name w:val="样式 8 小四"/>
    <w:pPr>
      <w:widowControl w:val="0"/>
      <w:spacing w:line="240" w:lineRule="auto"/>
      <w:jc w:val="left"/>
    </w:pPr>
    <w:rPr>
      <w:rFonts w:ascii="宋体" w:eastAsia="宋体" w:cs="Times New Roman"/>
      <w:kern w:val="2"/>
      <w:sz w:val="24"/>
      <w:szCs w:val="21"/>
      <w:lang w:val="en-US" w:eastAsia="zh-CN" w:bidi="ar-SA"/>
    </w:rPr>
  </w:style>
  <w:style w:type="paragraph" w:customStyle="1" w:styleId="29">
    <w:name w:val="样式 9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30">
    <w:name w:val="样式 10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31">
    <w:name w:val="样式 11 小四"/>
    <w:pPr>
      <w:widowControl w:val="0"/>
      <w:spacing w:line="240" w:lineRule="auto"/>
      <w:jc w:val="left"/>
    </w:pPr>
    <w:rPr>
      <w:rFonts w:ascii="宋体" w:eastAsia="宋体" w:cs="Times New Roman"/>
      <w:kern w:val="2"/>
      <w:sz w:val="24"/>
      <w:szCs w:val="21"/>
      <w:lang w:val="en-US" w:eastAsia="zh-CN" w:bidi="ar-SA"/>
    </w:rPr>
  </w:style>
  <w:style w:type="paragraph" w:customStyle="1" w:styleId="32">
    <w:name w:val="样式 "/>
    <w:rPr>
      <w:rFonts w:ascii="Times New Roman" w:eastAsia="宋体" w:cs="Times New Roman" w:hAnsi="Times New Roman"/>
      <w:color w:val="0000FF"/>
      <w:u w:val="single"/>
      <w:lang w:val="en-US" w:eastAsia="zh-CN" w:bidi="ar-SA"/>
    </w:rPr>
  </w:style>
  <w:style w:type="paragraph" w:customStyle="1" w:styleId="33">
    <w:name w:val="样式 12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34">
    <w:name w:val="样式 13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35">
    <w:name w:val="样式 14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36">
    <w:name w:val="样式 1 "/>
    <w:rPr>
      <w:rFonts w:ascii="Times New Roman" w:eastAsia="宋体" w:cs="Times New Roman" w:hAnsi="Times New Roman"/>
      <w:color w:val="0000FF"/>
      <w:u w:val="single"/>
      <w:lang w:val="en-US" w:eastAsia="zh-CN" w:bidi="ar-SA"/>
    </w:rPr>
  </w:style>
  <w:style w:type="paragraph" w:customStyle="1" w:styleId="37">
    <w:name w:val="样式 15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38">
    <w:name w:val="样式 16 小四"/>
    <w:pPr>
      <w:widowControl w:val="0"/>
      <w:spacing w:line="240" w:lineRule="auto"/>
      <w:jc w:val="left"/>
    </w:pPr>
    <w:rPr>
      <w:rFonts w:ascii="宋体" w:eastAsia="宋体" w:cs="Times New Roman"/>
      <w:kern w:val="2"/>
      <w:sz w:val="24"/>
      <w:szCs w:val="21"/>
      <w:lang w:val="en-US" w:eastAsia="zh-CN" w:bidi="ar-SA"/>
    </w:rPr>
  </w:style>
  <w:style w:type="paragraph" w:customStyle="1" w:styleId="39">
    <w:name w:val="样式 17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40">
    <w:name w:val="样式 18 小四"/>
    <w:pPr>
      <w:widowControl w:val="0"/>
      <w:spacing w:line="240" w:lineRule="auto"/>
      <w:jc w:val="left"/>
    </w:pPr>
    <w:rPr>
      <w:rFonts w:ascii="宋体" w:eastAsia="宋体" w:cs="Times New Roman"/>
      <w:kern w:val="2"/>
      <w:sz w:val="24"/>
      <w:szCs w:val="21"/>
      <w:lang w:val="en-US" w:eastAsia="zh-CN" w:bidi="ar-SA"/>
    </w:rPr>
  </w:style>
  <w:style w:type="paragraph" w:customStyle="1" w:styleId="41">
    <w:name w:val="样式 19 小四"/>
    <w:pPr>
      <w:widowControl w:val="0"/>
      <w:spacing w:line="240" w:lineRule="auto"/>
      <w:jc w:val="left"/>
    </w:pPr>
    <w:rPr>
      <w:rFonts w:ascii="宋体" w:eastAsia="宋体" w:cs="Times New Roman"/>
      <w:kern w:val="2"/>
      <w:sz w:val="24"/>
      <w:szCs w:val="21"/>
      <w:lang w:val="en-US" w:eastAsia="zh-CN" w:bidi="ar-SA"/>
    </w:rPr>
  </w:style>
  <w:style w:type="paragraph" w:customStyle="1" w:styleId="42">
    <w:name w:val="样式 20 小四"/>
    <w:pPr>
      <w:widowControl w:val="0"/>
      <w:spacing w:line="240" w:lineRule="auto"/>
      <w:jc w:val="left"/>
    </w:pPr>
    <w:rPr>
      <w:rFonts w:ascii="宋体" w:eastAsia="宋体" w:cs="Times New Roman"/>
      <w:kern w:val="2"/>
      <w:sz w:val="24"/>
      <w:szCs w:val="21"/>
      <w:lang w:val="en-US" w:eastAsia="zh-CN" w:bidi="ar-SA"/>
    </w:rPr>
  </w:style>
  <w:style w:type="paragraph" w:customStyle="1" w:styleId="43">
    <w:name w:val="样式 21 小四"/>
    <w:pPr>
      <w:widowControl w:val="0"/>
      <w:spacing w:line="240" w:lineRule="auto"/>
      <w:jc w:val="left"/>
    </w:pPr>
    <w:rPr>
      <w:rFonts w:ascii="宋体" w:eastAsia="宋体" w:cs="Times New Roman"/>
      <w:kern w:val="2"/>
      <w:sz w:val="24"/>
      <w:szCs w:val="21"/>
      <w:lang w:val="en-US" w:eastAsia="zh-CN" w:bidi="ar-SA"/>
    </w:rPr>
  </w:style>
  <w:style w:type="paragraph" w:customStyle="1" w:styleId="44">
    <w:name w:val="样式 22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45">
    <w:name w:val="样式 23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46">
    <w:name w:val="样式 24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47">
    <w:name w:val="样式 25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48">
    <w:name w:val="样式 26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styleId="92">
    <w:name w:val="List Bullet 5"/>
    <w:basedOn w:val="0"/>
    <w:pPr>
      <w:numPr>
        <w:ilvl w:val="0"/>
        <w:numId w:val="1"/>
      </w:numPr>
    </w:pPr>
  </w:style>
  <w:style w:type="character" w:styleId="118">
    <w:name w:val="Strong"/>
    <w:rPr>
      <w:b/>
    </w:rPr>
  </w:style>
  <w:style w:type="paragraph" w:customStyle="1" w:styleId="152">
    <w:name w:val="样式 27 小四"/>
    <w:pPr>
      <w:widowControl w:val="0"/>
      <w:spacing w:before="100" w:beforeAutospacing="1" w:after="100" w:afterAutospacing="1" w:line="240" w:lineRule="auto"/>
      <w:jc w:val="left"/>
    </w:pPr>
    <w:rPr>
      <w:rFonts w:ascii="宋体" w:eastAsia="宋体"/>
      <w:kern w:val="2"/>
      <w:sz w:val="24"/>
      <w:szCs w:val="21"/>
      <w:lang w:val="en-US" w:eastAsia="zh-CN"/>
    </w:rPr>
  </w:style>
  <w:style w:type="paragraph" w:customStyle="1" w:styleId="153">
    <w:name w:val="样式 28 小四"/>
    <w:pPr>
      <w:widowControl w:val="0"/>
      <w:spacing w:before="100" w:beforeAutospacing="1" w:after="100" w:afterAutospacing="1" w:line="240" w:lineRule="auto"/>
      <w:jc w:val="left"/>
    </w:pPr>
    <w:rPr>
      <w:rFonts w:ascii="宋体" w:eastAsia="宋体"/>
      <w:kern w:val="2"/>
      <w:sz w:val="24"/>
      <w:szCs w:val="21"/>
      <w:lang w:val="en-US" w:eastAsia="zh-CN"/>
    </w:rPr>
  </w:style>
  <w:style w:type="paragraph" w:customStyle="1" w:styleId="154">
    <w:name w:val="样式 29 小四"/>
    <w:pPr>
      <w:widowControl w:val="0"/>
      <w:spacing w:before="100" w:beforeAutospacing="1" w:after="100" w:afterAutospacing="1" w:line="240" w:lineRule="auto"/>
      <w:jc w:val="left"/>
    </w:pPr>
    <w:rPr>
      <w:rFonts w:ascii="宋体" w:eastAsia="宋体"/>
      <w:kern w:val="2"/>
      <w:sz w:val="24"/>
      <w:szCs w:val="21"/>
      <w:lang w:val="en-US" w:eastAsia="zh-CN"/>
    </w:rPr>
  </w:style>
  <w:style w:type="paragraph" w:customStyle="1" w:styleId="155">
    <w:name w:val="样式 30 小四"/>
    <w:pPr>
      <w:widowControl w:val="0"/>
      <w:spacing w:before="100" w:beforeAutospacing="1" w:after="100" w:afterAutospacing="1" w:line="240" w:lineRule="auto"/>
      <w:jc w:val="left"/>
    </w:pPr>
    <w:rPr>
      <w:rFonts w:ascii="宋体" w:eastAsia="宋体"/>
      <w:kern w:val="2"/>
      <w:sz w:val="24"/>
      <w:szCs w:val="21"/>
      <w:lang w:val="en-US" w:eastAsia="zh-CN"/>
    </w:rPr>
  </w:style>
  <w:style w:type="paragraph" w:customStyle="1" w:styleId="156">
    <w:name w:val="样式 31 小四"/>
    <w:pPr>
      <w:widowControl w:val="0"/>
      <w:spacing w:before="100" w:beforeAutospacing="1" w:after="100" w:afterAutospacing="1" w:line="240" w:lineRule="auto"/>
      <w:jc w:val="left"/>
    </w:pPr>
    <w:rPr>
      <w:rFonts w:ascii="宋体" w:eastAsia="宋体"/>
      <w:kern w:val="2"/>
      <w:sz w:val="24"/>
      <w:szCs w:val="21"/>
      <w:lang w:val="en-US" w:eastAsia="zh-CN"/>
    </w:rPr>
  </w:style>
  <w:style w:type="paragraph" w:customStyle="1" w:styleId="157">
    <w:name w:val="样式 32 小四"/>
    <w:pPr>
      <w:widowControl w:val="0"/>
      <w:spacing w:line="240" w:lineRule="auto"/>
      <w:jc w:val="left"/>
    </w:pPr>
    <w:rPr>
      <w:rFonts w:ascii="宋体" w:eastAsia="宋体"/>
      <w:kern w:val="2"/>
      <w:sz w:val="24"/>
      <w:szCs w:val="21"/>
      <w:lang w:val="en-US" w:eastAsia="zh-CN"/>
    </w:rPr>
  </w:style>
  <w:style w:type="paragraph" w:customStyle="1" w:styleId="158">
    <w:name w:val="样式 33 小四"/>
    <w:pPr>
      <w:widowControl w:val="0"/>
      <w:spacing w:line="240" w:lineRule="auto"/>
      <w:jc w:val="left"/>
    </w:pPr>
    <w:rPr>
      <w:rFonts w:ascii="宋体" w:eastAsia="宋体"/>
      <w:kern w:val="2"/>
      <w:sz w:val="24"/>
      <w:szCs w:val="21"/>
      <w:lang w:val="en-US" w:eastAsia="zh-CN"/>
    </w:rPr>
  </w:style>
  <w:style w:type="paragraph" w:customStyle="1" w:styleId="159">
    <w:name w:val="样式 34 小四"/>
    <w:pPr>
      <w:widowControl w:val="0"/>
      <w:spacing w:before="100" w:beforeAutospacing="1" w:after="100" w:afterAutospacing="1" w:line="240" w:lineRule="auto"/>
      <w:jc w:val="left"/>
    </w:pPr>
    <w:rPr>
      <w:rFonts w:ascii="宋体" w:eastAsia="宋体"/>
      <w:kern w:val="2"/>
      <w:sz w:val="24"/>
      <w:szCs w:val="21"/>
      <w:lang w:val="en-US" w:eastAsia="zh-CN"/>
    </w:rPr>
  </w:style>
  <w:style w:type="paragraph" w:customStyle="1" w:styleId="160">
    <w:name w:val="样式 35 小四"/>
    <w:pPr>
      <w:widowControl w:val="0"/>
      <w:spacing w:line="240" w:lineRule="auto"/>
      <w:jc w:val="left"/>
    </w:pPr>
    <w:rPr>
      <w:rFonts w:ascii="宋体" w:eastAsia="宋体"/>
      <w:kern w:val="2"/>
      <w:sz w:val="24"/>
      <w:szCs w:val="21"/>
      <w:lang w:val="en-US" w:eastAsia="zh-CN"/>
    </w:rPr>
  </w:style>
  <w:style w:type="paragraph" w:customStyle="1" w:styleId="161">
    <w:name w:val="样式 36 小四"/>
    <w:pPr>
      <w:widowControl w:val="0"/>
      <w:spacing w:before="100" w:beforeAutospacing="1" w:after="100" w:afterAutospacing="1" w:line="240" w:lineRule="auto"/>
      <w:jc w:val="left"/>
    </w:pPr>
    <w:rPr>
      <w:rFonts w:ascii="宋体" w:eastAsia="宋体"/>
      <w:kern w:val="2"/>
      <w:sz w:val="24"/>
      <w:szCs w:val="21"/>
      <w:lang w:val="en-US" w:eastAsia="zh-CN"/>
    </w:rPr>
  </w:style>
  <w:style w:type="paragraph" w:customStyle="1" w:styleId="162">
    <w:name w:val="样式 37 小四"/>
    <w:pPr>
      <w:widowControl w:val="0"/>
      <w:spacing w:before="100" w:beforeAutospacing="1" w:after="100" w:afterAutospacing="1" w:line="240" w:lineRule="auto"/>
      <w:jc w:val="left"/>
    </w:pPr>
    <w:rPr>
      <w:rFonts w:ascii="宋体" w:eastAsia="宋体"/>
      <w:kern w:val="2"/>
      <w:sz w:val="24"/>
      <w:szCs w:val="21"/>
      <w:lang w:val="en-US" w:eastAsia="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769</TotalTime>
  <Application>Yozo_Office</Application>
  <Pages>1</Pages>
  <Words>24</Words>
  <Characters>27</Characters>
  <Lines>2</Lines>
  <Paragraphs>1</Paragraphs>
  <CharactersWithSpaces>27</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 大海</dc:creator>
  <cp:lastModifiedBy>lenovo</cp:lastModifiedBy>
  <cp:revision>2</cp:revision>
  <dcterms:created xsi:type="dcterms:W3CDTF">2022-04-26T07:01:00Z</dcterms:created>
  <dcterms:modified xsi:type="dcterms:W3CDTF">2023-04-26T06:11:44Z</dcterms:modified>
</cp:coreProperties>
</file>