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pacing w:line="560" w:lineRule="exact"/>
        <w:jc w:val="right"/>
        <w:rPr>
          <w:rFonts w:ascii="方正小标宋_GBK" w:eastAsia="方正小标宋_GBK"/>
          <w:sz w:val="36"/>
          <w:szCs w:val="36"/>
        </w:rPr>
      </w:pPr>
      <w:r>
        <w:rPr>
          <w:rFonts w:ascii="方正小标宋_GBK" w:eastAsia="方正小标宋_GBK" w:cs="Times New Roman" w:hint="eastAsia"/>
          <w:sz w:val="44"/>
          <w:szCs w:val="44"/>
        </w:rPr>
        <w:t>海关政务</w:t>
      </w:r>
      <w:r>
        <w:rPr>
          <w:rFonts w:ascii="方正小标宋_GBK" w:eastAsia="方正小标宋_GBK" w:cs="Times New Roman"/>
          <w:sz w:val="44"/>
          <w:szCs w:val="44"/>
        </w:rPr>
        <w:t>服务</w:t>
      </w:r>
      <w:r>
        <w:rPr>
          <w:rFonts w:ascii="方正小标宋_GBK" w:eastAsia="方正小标宋_GBK" w:cs="Times New Roman" w:hint="eastAsia"/>
          <w:sz w:val="44"/>
          <w:szCs w:val="44"/>
        </w:rPr>
        <w:t>事项办事指南</w:t>
      </w:r>
    </w:p>
    <w:p>
      <w:pPr>
        <w:widowControl/>
        <w:spacing w:line="560" w:lineRule="exact"/>
        <w:jc w:val="center"/>
        <w:rPr>
          <w:rFonts w:ascii="方正小标宋_GBK" w:eastAsia="方正小标宋_GBK"/>
          <w:sz w:val="32"/>
          <w:szCs w:val="32"/>
        </w:rPr>
      </w:pPr>
      <w:r>
        <w:rPr>
          <w:rFonts w:ascii="方正小标宋_GBK" w:eastAsia="方正小标宋_GBK" w:hint="eastAsia"/>
          <w:sz w:val="32"/>
          <w:szCs w:val="32"/>
        </w:rPr>
        <w:t>“过境动物、进境特定动植物及其产品检疫审批”</w:t>
      </w:r>
    </w:p>
    <w:p>
      <w:pPr>
        <w:widowControl/>
        <w:spacing w:line="560" w:lineRule="exact"/>
        <w:jc w:val="center"/>
        <w:rPr>
          <w:rFonts w:ascii="方正小标宋_GBK" w:eastAsia="方正小标宋_GBK"/>
          <w:sz w:val="32"/>
          <w:szCs w:val="32"/>
        </w:rPr>
      </w:pPr>
      <w:r>
        <w:rPr>
          <w:rFonts w:ascii="方正小标宋_GBK" w:eastAsia="方正小标宋_GBK" w:cs="Times New Roman" w:hint="eastAsia"/>
          <w:sz w:val="32"/>
          <w:szCs w:val="32"/>
        </w:rPr>
        <w:t>（食品部分）行政审批事项办事指南</w:t>
      </w:r>
    </w:p>
    <w:p>
      <w:pPr>
        <w:adjustRightInd w:val="0"/>
        <w:snapToGrid w:val="0"/>
        <w:spacing w:line="560" w:lineRule="exact"/>
        <w:ind w:firstLineChars="200" w:firstLine="640"/>
        <w:rPr>
          <w:rFonts w:ascii="Times New Roman" w:eastAsia="方正黑体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hint="eastAsia"/>
          <w:sz w:val="32"/>
          <w:szCs w:val="32"/>
        </w:rPr>
        <w:t>一、事项名称：</w:t>
      </w:r>
      <w:r>
        <w:rPr>
          <w:rFonts w:ascii="方正仿宋_GBK" w:eastAsia="方正仿宋_GBK" w:hint="eastAsia"/>
          <w:sz w:val="32"/>
          <w:szCs w:val="32"/>
        </w:rPr>
        <w:t>过境动物、进境特定动植物及其产品检疫审批</w:t>
      </w:r>
      <w:r>
        <w:rPr>
          <w:rFonts w:ascii="Times New Roman" w:eastAsia="方正仿宋_GBK" w:cs="Times New Roman" w:hAnsi="Times New Roman" w:hint="eastAsia"/>
          <w:sz w:val="32"/>
          <w:szCs w:val="32"/>
        </w:rPr>
        <w:t>（食品部分）。</w:t>
      </w:r>
    </w:p>
    <w:p>
      <w:pPr>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、事项类型：行政许可</w:t>
      </w:r>
    </w:p>
    <w:p>
      <w:pPr>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三、</w:t>
      </w:r>
      <w:r>
        <w:rPr>
          <w:rFonts w:ascii="Times New Roman" w:eastAsia="方正黑体_GBK" w:hAnsi="Times New Roman"/>
          <w:sz w:val="32"/>
          <w:szCs w:val="32"/>
        </w:rPr>
        <w:t>设立依据：</w:t>
      </w:r>
    </w:p>
    <w:p>
      <w:pPr>
        <w:adjustRightInd w:val="0"/>
        <w:snapToGrid w:val="0"/>
        <w:spacing w:line="560" w:lineRule="exact"/>
        <w:ind w:firstLineChars="200" w:firstLine="640"/>
        <w:rPr>
          <w:rFonts w:ascii="Times New Roman" w:eastAsia="方正仿宋_GBK" w:cs="Times New Roman" w:hAnsi="Times New Roman"/>
          <w:b/>
          <w:bCs/>
          <w:sz w:val="32"/>
          <w:szCs w:val="32"/>
        </w:rPr>
      </w:pPr>
      <w:r>
        <w:rPr>
          <w:rFonts w:ascii="Times New Roman" w:eastAsia="方正仿宋_GBK" w:cs="Times New Roman" w:hAnsi="Times New Roman" w:hint="eastAsia"/>
          <w:b/>
          <w:bCs/>
          <w:sz w:val="32"/>
          <w:szCs w:val="32"/>
        </w:rPr>
        <w:t>（一）《中华人民共和国进出境动植物检疫法》</w:t>
      </w:r>
    </w:p>
    <w:p>
      <w:pPr>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第十条输入动物、动物产品、植物种子、种苗及其他繁殖材料的，必须事先提出申请，办理检疫审批手续。</w:t>
      </w:r>
    </w:p>
    <w:p>
      <w:pPr>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第二十三条要求运输动物过境的，必须事先商得中国国家动植物检疫机关同意，并按照指定的口岸和路线过境。</w:t>
      </w:r>
    </w:p>
    <w:p>
      <w:pPr>
        <w:widowControl/>
        <w:snapToGrid w:val="0"/>
        <w:spacing w:line="560" w:lineRule="exact"/>
        <w:ind w:firstLineChars="181" w:firstLine="579"/>
        <w:rPr>
          <w:rFonts w:ascii="Times New Roman" w:eastAsia="方正仿宋_GBK" w:cs="Times New Roman" w:hAnsi="Times New Roman"/>
          <w:b/>
          <w:bCs/>
          <w:sz w:val="32"/>
          <w:szCs w:val="32"/>
        </w:rPr>
      </w:pPr>
      <w:r>
        <w:rPr>
          <w:rFonts w:ascii="Times New Roman" w:eastAsia="方正仿宋_GBK" w:cs="Times New Roman" w:hAnsi="Times New Roman" w:hint="eastAsia"/>
          <w:b/>
          <w:bCs/>
          <w:sz w:val="32"/>
          <w:szCs w:val="32"/>
        </w:rPr>
        <w:t>（二）《中华人民共和国进出境动植物检疫法实施条例》</w:t>
      </w:r>
    </w:p>
    <w:p>
      <w:pPr>
        <w:widowControl/>
        <w:snapToGrid w:val="0"/>
        <w:spacing w:line="560" w:lineRule="exact"/>
        <w:ind w:firstLineChars="181" w:firstLine="579"/>
        <w:rPr>
          <w:rFonts w:ascii="Times New Roman" w:eastAsia="方正仿宋_GBK" w:hAnsi="Times New Roman"/>
          <w:sz w:val="32"/>
          <w:szCs w:val="32"/>
        </w:rPr>
      </w:pPr>
      <w:r>
        <w:rPr>
          <w:rFonts w:ascii="Times New Roman" w:eastAsia="方正仿宋_GBK" w:hAnsi="Times New Roman" w:hint="eastAsia"/>
          <w:sz w:val="32"/>
          <w:szCs w:val="32"/>
        </w:rPr>
        <w:t>第九条 输入动物、动物产品和进出境动植物检疫法第五条第一款所列禁止进境物的检疫审批，由国家动植物检疫局或者其授权的口岸动植物检疫机关负责。</w:t>
      </w:r>
    </w:p>
    <w:p>
      <w:pPr>
        <w:widowControl/>
        <w:snapToGrid w:val="0"/>
        <w:spacing w:line="560" w:lineRule="exact"/>
        <w:ind w:firstLineChars="181" w:firstLine="579"/>
        <w:rPr>
          <w:rFonts w:ascii="Times New Roman" w:eastAsia="方正仿宋_GBK" w:hAnsi="Times New Roman"/>
          <w:sz w:val="32"/>
          <w:szCs w:val="32"/>
        </w:rPr>
      </w:pPr>
      <w:r>
        <w:rPr>
          <w:rFonts w:ascii="Times New Roman" w:eastAsia="方正仿宋_GBK" w:hAnsi="Times New Roman" w:hint="eastAsia"/>
          <w:sz w:val="32"/>
          <w:szCs w:val="32"/>
        </w:rPr>
        <w:t>输入植物种子、种苗及其他繁殖材料的检疫审批，由植物检疫条例规定的机关负责。</w:t>
      </w:r>
    </w:p>
    <w:p>
      <w:pPr>
        <w:widowControl/>
        <w:snapToGrid w:val="0"/>
        <w:spacing w:line="560" w:lineRule="exact"/>
        <w:ind w:firstLineChars="181" w:firstLine="579"/>
        <w:rPr>
          <w:rFonts w:ascii="Times New Roman" w:eastAsia="方正仿宋_GBK" w:hAnsi="Times New Roman"/>
          <w:sz w:val="32"/>
          <w:szCs w:val="32"/>
        </w:rPr>
      </w:pPr>
      <w:r>
        <w:rPr>
          <w:rFonts w:ascii="Times New Roman" w:eastAsia="方正仿宋_GBK" w:hAnsi="Times New Roman" w:hint="eastAsia"/>
          <w:sz w:val="32"/>
          <w:szCs w:val="32"/>
        </w:rPr>
        <w:t>第十条 符合下列条件的，方可办理进境检疫审批手续:</w:t>
      </w:r>
    </w:p>
    <w:p>
      <w:pPr>
        <w:widowControl/>
        <w:snapToGrid w:val="0"/>
        <w:spacing w:line="560" w:lineRule="exact"/>
        <w:ind w:firstLineChars="181" w:firstLine="579"/>
        <w:rPr>
          <w:rFonts w:ascii="Times New Roman" w:eastAsia="方正仿宋_GBK" w:hAnsi="Times New Roman"/>
          <w:sz w:val="32"/>
          <w:szCs w:val="32"/>
        </w:rPr>
      </w:pPr>
      <w:r>
        <w:rPr>
          <w:rFonts w:ascii="Times New Roman" w:eastAsia="方正仿宋_GBK" w:hAnsi="Times New Roman" w:hint="eastAsia"/>
          <w:sz w:val="32"/>
          <w:szCs w:val="32"/>
        </w:rPr>
        <w:t>(一)输出国家或者地区无重大动植物疫情;</w:t>
      </w:r>
    </w:p>
    <w:p>
      <w:pPr>
        <w:widowControl/>
        <w:snapToGrid w:val="0"/>
        <w:spacing w:line="560" w:lineRule="exact"/>
        <w:ind w:firstLineChars="181" w:firstLine="579"/>
        <w:rPr>
          <w:rFonts w:ascii="Times New Roman" w:eastAsia="方正仿宋_GBK" w:hAnsi="Times New Roman"/>
          <w:sz w:val="32"/>
          <w:szCs w:val="32"/>
        </w:rPr>
      </w:pPr>
      <w:r>
        <w:rPr>
          <w:rFonts w:ascii="Times New Roman" w:eastAsia="方正仿宋_GBK" w:hAnsi="Times New Roman" w:hint="eastAsia"/>
          <w:sz w:val="32"/>
          <w:szCs w:val="32"/>
        </w:rPr>
        <w:t>(二)符合中国有关动植物检疫法律、法规、规章的规定;</w:t>
      </w:r>
    </w:p>
    <w:p>
      <w:pPr>
        <w:widowControl/>
        <w:snapToGrid w:val="0"/>
        <w:spacing w:line="560" w:lineRule="exact"/>
        <w:ind w:firstLineChars="181" w:firstLine="579"/>
        <w:rPr>
          <w:rFonts w:ascii="Times New Roman" w:eastAsia="方正仿宋_GBK" w:hAnsi="Times New Roman"/>
          <w:sz w:val="32"/>
          <w:szCs w:val="32"/>
        </w:rPr>
      </w:pPr>
      <w:r>
        <w:rPr>
          <w:rFonts w:ascii="Times New Roman" w:eastAsia="方正仿宋_GBK" w:hAnsi="Times New Roman" w:hint="eastAsia"/>
          <w:sz w:val="32"/>
          <w:szCs w:val="32"/>
        </w:rPr>
        <w:t>(三)符合中国与输出国家或者地区签订的有关双边检疫协定(含检疫协议、备忘录等，下同)。</w:t>
      </w:r>
    </w:p>
    <w:p>
      <w:pPr>
        <w:widowControl/>
        <w:snapToGrid w:val="0"/>
        <w:spacing w:line="560" w:lineRule="exact"/>
        <w:ind w:firstLineChars="181" w:firstLine="579"/>
        <w:rPr>
          <w:rFonts w:ascii="Times New Roman" w:eastAsia="方正仿宋_GBK" w:hAnsi="Times New Roman"/>
          <w:sz w:val="32"/>
          <w:szCs w:val="32"/>
        </w:rPr>
      </w:pPr>
      <w:r>
        <w:rPr>
          <w:rFonts w:ascii="Times New Roman" w:eastAsia="方正仿宋_GBK" w:hAnsi="Times New Roman" w:hint="eastAsia"/>
          <w:sz w:val="32"/>
          <w:szCs w:val="32"/>
        </w:rPr>
        <w:t>第十一条 检疫审批手续应当在贸易合同或者协议签订前办妥。</w:t>
      </w:r>
    </w:p>
    <w:p>
      <w:pPr>
        <w:adjustRightInd w:val="0"/>
        <w:snapToGrid w:val="0"/>
        <w:spacing w:line="560" w:lineRule="exact"/>
        <w:ind w:firstLineChars="200" w:firstLine="640"/>
        <w:rPr>
          <w:rFonts w:eastAsia="方正仿宋_GBK"/>
          <w:bCs/>
          <w:sz w:val="32"/>
          <w:szCs w:val="32"/>
        </w:rPr>
      </w:pPr>
      <w:r>
        <w:rPr>
          <w:rFonts w:eastAsia="方正黑体_GBK" w:hint="eastAsia"/>
          <w:sz w:val="32"/>
          <w:szCs w:val="32"/>
        </w:rPr>
        <w:t>四、实施机构：</w:t>
      </w:r>
      <w:r>
        <w:rPr>
          <w:rFonts w:eastAsia="方正仿宋_GBK" w:hint="eastAsia"/>
          <w:bCs/>
          <w:sz w:val="32"/>
          <w:szCs w:val="32"/>
        </w:rPr>
        <w:t>天津海关</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黑体_GBK" w:cs="Times New Roman" w:hAnsi="Times New Roman" w:hint="eastAsia"/>
          <w:sz w:val="32"/>
          <w:szCs w:val="32"/>
        </w:rPr>
        <w:t>五、法定办理时限：</w:t>
      </w:r>
      <w:r>
        <w:rPr>
          <w:rFonts w:ascii="Times New Roman" w:eastAsia="方正仿宋_GBK" w:cs="Times New Roman" w:hAnsi="Times New Roman" w:hint="eastAsia"/>
          <w:sz w:val="32"/>
          <w:szCs w:val="32"/>
        </w:rPr>
        <w:t>自受理申请之日起</w:t>
      </w:r>
      <w:r>
        <w:rPr>
          <w:rFonts w:ascii="Times New Roman" w:eastAsia="方正仿宋_GBK" w:hAnsi="Times New Roman"/>
          <w:sz w:val="32"/>
          <w:szCs w:val="32"/>
        </w:rPr>
        <w:t>20</w:t>
      </w:r>
      <w:r>
        <w:rPr>
          <w:rFonts w:ascii="Times New Roman" w:eastAsia="方正仿宋_GBK" w:cs="Times New Roman" w:hAnsi="Times New Roman" w:hint="eastAsia"/>
          <w:sz w:val="32"/>
          <w:szCs w:val="32"/>
        </w:rPr>
        <w:t>个工作日内作出准予许可或不予许可的决定。</w:t>
      </w:r>
      <w:r>
        <w:rPr>
          <w:rFonts w:ascii="Times New Roman" w:eastAsia="方正仿宋_GBK" w:cs="Times New Roman" w:hAnsi="Times New Roman"/>
          <w:kern w:val="0"/>
          <w:sz w:val="32"/>
          <w:szCs w:val="32"/>
        </w:rPr>
        <w:t>20个工作日内不能作出决定的，经本行政机关负责人批准，延长10个工作日。</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黑体_GBK" w:cs="Times New Roman" w:hAnsi="Times New Roman" w:hint="eastAsia"/>
          <w:sz w:val="32"/>
          <w:szCs w:val="32"/>
        </w:rPr>
        <w:t>六、</w:t>
      </w:r>
      <w:r>
        <w:rPr>
          <w:rFonts w:ascii="Times New Roman" w:eastAsia="方正仿宋_GBK" w:cs="Times New Roman" w:hAnsi="Times New Roman" w:hint="eastAsia"/>
          <w:sz w:val="32"/>
          <w:szCs w:val="32"/>
        </w:rPr>
        <w:t>承诺办结时限：检疫审批自受理之日起</w:t>
      </w:r>
      <w:r>
        <w:rPr>
          <w:rFonts w:ascii="Times New Roman" w:eastAsia="方正仿宋_GBK" w:hAnsi="Times New Roman" w:hint="eastAsia"/>
          <w:sz w:val="32"/>
          <w:szCs w:val="32"/>
        </w:rPr>
        <w:t>20</w:t>
      </w:r>
      <w:r>
        <w:rPr>
          <w:rFonts w:ascii="Times New Roman" w:eastAsia="方正仿宋_GBK" w:cs="Times New Roman" w:hAnsi="Times New Roman" w:hint="eastAsia"/>
          <w:sz w:val="32"/>
          <w:szCs w:val="32"/>
        </w:rPr>
        <w:t>个工作日内完成。</w:t>
      </w:r>
    </w:p>
    <w:p>
      <w:pPr>
        <w:adjustRightInd w:val="0"/>
        <w:snapToGrid w:val="0"/>
        <w:spacing w:line="560" w:lineRule="exact"/>
        <w:ind w:firstLineChars="200" w:firstLine="640"/>
        <w:rPr>
          <w:rFonts w:ascii="Times New Roman" w:eastAsia="方正仿宋_GBK" w:hAnsi="Times New Roman"/>
          <w:spacing w:val="-6"/>
          <w:sz w:val="32"/>
          <w:szCs w:val="32"/>
        </w:rPr>
      </w:pPr>
      <w:r>
        <w:rPr>
          <w:rFonts w:ascii="Times New Roman" w:eastAsia="方正黑体_GBK" w:hAnsi="Times New Roman" w:hint="eastAsia"/>
          <w:sz w:val="32"/>
          <w:szCs w:val="32"/>
        </w:rPr>
        <w:t>七、</w:t>
      </w:r>
      <w:r>
        <w:rPr>
          <w:rFonts w:ascii="Times New Roman" w:eastAsia="方正黑体_GBK" w:hAnsi="Times New Roman"/>
          <w:sz w:val="32"/>
          <w:szCs w:val="32"/>
        </w:rPr>
        <w:t>结果名称：</w:t>
      </w:r>
      <w:r>
        <w:rPr>
          <w:rFonts w:ascii="Times New Roman" w:eastAsia="方正仿宋_GBK" w:cs="Times New Roman" w:hAnsi="Times New Roman" w:hint="eastAsia"/>
          <w:spacing w:val="-6"/>
          <w:sz w:val="32"/>
          <w:szCs w:val="32"/>
        </w:rPr>
        <w:t>《中华人民共和国</w:t>
      </w:r>
      <w:r>
        <w:rPr>
          <w:rFonts w:ascii="Times New Roman" w:eastAsia="方正仿宋_GBK" w:hAnsi="Times New Roman"/>
          <w:spacing w:val="-6"/>
          <w:sz w:val="32"/>
          <w:szCs w:val="32"/>
        </w:rPr>
        <w:t>XXX</w:t>
      </w:r>
      <w:r>
        <w:rPr>
          <w:rFonts w:ascii="Times New Roman" w:eastAsia="方正仿宋_GBK" w:cs="Times New Roman" w:hAnsi="Times New Roman" w:hint="eastAsia"/>
          <w:spacing w:val="-6"/>
          <w:sz w:val="32"/>
          <w:szCs w:val="32"/>
        </w:rPr>
        <w:t>海关准予行政许可决定书》、《中华人民共和国进境动植物检疫许可证》。</w:t>
      </w:r>
    </w:p>
    <w:p>
      <w:pPr>
        <w:wordWrap w:val="0"/>
        <w:spacing w:line="560" w:lineRule="exact"/>
        <w:ind w:firstLineChars="200" w:firstLine="640"/>
        <w:rPr>
          <w:rFonts w:eastAsia="方正黑体_GBK"/>
          <w:sz w:val="32"/>
          <w:szCs w:val="32"/>
        </w:rPr>
      </w:pPr>
      <w:r>
        <w:rPr>
          <w:rFonts w:eastAsia="方正黑体_GBK" w:hint="eastAsia"/>
          <w:sz w:val="32"/>
          <w:szCs w:val="32"/>
        </w:rPr>
        <w:t>八、结果样本：</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（一）《中华人民共和国</w:t>
      </w:r>
      <w:r>
        <w:rPr>
          <w:rFonts w:eastAsia="方正仿宋_GBK"/>
          <w:spacing w:val="-6"/>
          <w:sz w:val="32"/>
          <w:szCs w:val="32"/>
        </w:rPr>
        <w:t>XXX</w:t>
      </w:r>
      <w:r>
        <w:rPr>
          <w:rFonts w:eastAsia="方正仿宋_GBK" w:hint="eastAsia"/>
          <w:spacing w:val="-6"/>
          <w:sz w:val="32"/>
          <w:szCs w:val="32"/>
        </w:rPr>
        <w:t>海关行政许可申请不予受理通知书》（见附件</w:t>
      </w:r>
      <w:r>
        <w:rPr>
          <w:rFonts w:ascii="Times New Roman" w:eastAsia="方正仿宋_GBK" w:cs="Times New Roman" w:hAnsi="Times New Roman"/>
          <w:spacing w:val="-6"/>
          <w:sz w:val="32"/>
          <w:szCs w:val="32"/>
        </w:rPr>
        <w:t>1</w:t>
      </w:r>
      <w:r>
        <w:rPr>
          <w:rFonts w:eastAsia="方正仿宋_GBK" w:hint="eastAsia"/>
          <w:spacing w:val="-6"/>
          <w:sz w:val="32"/>
          <w:szCs w:val="32"/>
        </w:rPr>
        <w:t>）；</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（二）《</w:t>
      </w:r>
      <w:r>
        <w:rPr>
          <w:rFonts w:ascii="Times New Roman" w:eastAsia="方正仿宋_GBK" w:cs="Times New Roman" w:hAnsi="Times New Roman" w:hint="eastAsia"/>
          <w:spacing w:val="-6"/>
          <w:sz w:val="32"/>
          <w:szCs w:val="32"/>
        </w:rPr>
        <w:t>中华人民共和国进境动植物检疫许可证</w:t>
      </w:r>
      <w:r>
        <w:rPr>
          <w:rFonts w:eastAsia="方正仿宋_GBK" w:hint="eastAsia"/>
          <w:spacing w:val="-6"/>
          <w:sz w:val="32"/>
          <w:szCs w:val="32"/>
        </w:rPr>
        <w:t>》（见附件</w:t>
      </w:r>
      <w:r>
        <w:rPr>
          <w:rFonts w:ascii="Times New Roman" w:eastAsia="方正仿宋_GBK" w:cs="Times New Roman" w:hAnsi="Times New Roman"/>
          <w:spacing w:val="-6"/>
          <w:sz w:val="32"/>
          <w:szCs w:val="32"/>
        </w:rPr>
        <w:t>2</w:t>
      </w:r>
      <w:r>
        <w:rPr>
          <w:rFonts w:eastAsia="方正仿宋_GBK" w:hint="eastAsia"/>
          <w:spacing w:val="-6"/>
          <w:sz w:val="32"/>
          <w:szCs w:val="32"/>
        </w:rPr>
        <w:t>）。</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九、收费标准：</w:t>
      </w:r>
      <w:r>
        <w:rPr>
          <w:rFonts w:eastAsia="方正仿宋_GBK" w:hint="eastAsia"/>
          <w:bCs/>
          <w:sz w:val="32"/>
          <w:szCs w:val="32"/>
        </w:rPr>
        <w:t>不收费</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十、收费依据：</w:t>
      </w:r>
      <w:r>
        <w:rPr>
          <w:rFonts w:eastAsia="方正仿宋_GBK" w:hint="eastAsia"/>
          <w:sz w:val="32"/>
          <w:szCs w:val="32"/>
        </w:rPr>
        <w:t>无</w:t>
      </w:r>
    </w:p>
    <w:p>
      <w:pPr>
        <w:widowControl/>
        <w:snapToGrid w:val="0"/>
        <w:spacing w:line="560" w:lineRule="exact"/>
        <w:ind w:firstLineChars="180" w:firstLine="576"/>
        <w:rPr>
          <w:rFonts w:ascii="Times New Roman" w:eastAsia="方正黑体_GBK" w:hAnsi="Times New Roman"/>
          <w:kern w:val="0"/>
          <w:sz w:val="32"/>
          <w:szCs w:val="32"/>
        </w:rPr>
      </w:pPr>
      <w:r>
        <w:rPr>
          <w:rFonts w:ascii="Times New Roman" w:eastAsia="方正黑体_GBK" w:cs="Times New Roman" w:hAnsi="Times New Roman" w:hint="eastAsia"/>
          <w:sz w:val="32"/>
          <w:szCs w:val="32"/>
        </w:rPr>
        <w:t>十一、申请条件：</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（一）申请办理检疫审批手续的单位（以下简称申请单位）应当是具有独立法人资格并直接对外签订贸易合同或者协议的单位；</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（二）输出国家或者地区无相关的动植物疫情；</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（三）符合中国有关动植物检疫法律法规和部门规章的规定；</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（四）符合中国与输出国家或者地区签订的双边检疫协定（包括检疫协议、议定书、备忘录等）；</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（五）进境动植物源性食品，输出国家（地区）和生产企业应在海关总署公布的相关检验检疫准入名单内，</w:t>
      </w:r>
      <w:r>
        <w:rPr>
          <w:rFonts w:ascii="方正仿宋_GBK" w:eastAsia="方正仿宋_GBK" w:hint="eastAsia"/>
          <w:kern w:val="0"/>
          <w:sz w:val="32"/>
          <w:szCs w:val="32"/>
        </w:rPr>
        <w:t>详见总署网址</w:t>
      </w:r>
      <w:r>
        <w:rPr>
          <w:rFonts w:ascii="方正仿宋_GBK" w:eastAsia="方正仿宋_GBK"/>
          <w:kern w:val="0"/>
          <w:sz w:val="32"/>
          <w:szCs w:val="32"/>
        </w:rPr>
        <w:t>，路径为：海关总署网站-进出口食品-信息服务-业务信息</w:t>
      </w:r>
      <w:r>
        <w:rPr>
          <w:rFonts w:eastAsia="方正仿宋_GBK" w:hint="eastAsia"/>
          <w:spacing w:val="-6"/>
          <w:sz w:val="32"/>
          <w:szCs w:val="32"/>
        </w:rPr>
        <w:t>；</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（六）申请进境肉类产品许可证的申请企业应在</w:t>
      </w:r>
      <w:r>
        <w:rPr>
          <w:rFonts w:eastAsia="方正仿宋_GBK"/>
          <w:spacing w:val="-6"/>
          <w:sz w:val="32"/>
          <w:szCs w:val="32"/>
        </w:rPr>
        <w:t>海关进行备案。</w:t>
      </w:r>
    </w:p>
    <w:p>
      <w:pPr>
        <w:widowControl/>
        <w:snapToGrid w:val="0"/>
        <w:spacing w:line="560" w:lineRule="exact"/>
        <w:ind w:firstLineChars="200" w:firstLine="640"/>
        <w:rPr>
          <w:rFonts w:ascii="Times New Roman" w:eastAsia="方正黑体_GBK" w:hAnsi="Times New Roman"/>
          <w:sz w:val="32"/>
          <w:szCs w:val="32"/>
        </w:rPr>
      </w:pPr>
      <w:r>
        <w:rPr>
          <w:rFonts w:ascii="Times New Roman" w:eastAsia="方正黑体_GBK" w:cs="Times New Roman" w:hAnsi="Times New Roman" w:hint="eastAsia"/>
          <w:sz w:val="32"/>
          <w:szCs w:val="32"/>
        </w:rPr>
        <w:t>十二、</w:t>
      </w:r>
      <w:r>
        <w:rPr>
          <w:rFonts w:eastAsia="方正黑体_GBK" w:hint="eastAsia"/>
          <w:sz w:val="32"/>
          <w:szCs w:val="32"/>
        </w:rPr>
        <w:t>申请时应提交的材料：</w:t>
      </w:r>
    </w:p>
    <w:p>
      <w:pPr>
        <w:adjustRightInd w:val="0"/>
        <w:snapToGrid w:val="0"/>
        <w:spacing w:line="560" w:lineRule="exact"/>
        <w:ind w:firstLineChars="200" w:firstLine="640"/>
        <w:rPr>
          <w:rFonts w:ascii="Times New Roman" w:eastAsia="方正黑体_GBK" w:hAnsi="Times New Roman"/>
          <w:sz w:val="32"/>
          <w:szCs w:val="32"/>
        </w:rPr>
      </w:pPr>
      <w:r>
        <w:rPr>
          <w:rFonts w:ascii="方正仿宋_GBK" w:eastAsia="方正仿宋_GBK" w:hint="eastAsia"/>
          <w:kern w:val="0"/>
          <w:sz w:val="32"/>
          <w:szCs w:val="32"/>
        </w:rPr>
        <w:t>在线填写申请表（</w:t>
      </w:r>
      <w:r>
        <w:rPr>
          <w:rFonts w:ascii="方正仿宋_GBK" w:eastAsia="方正仿宋_GBK"/>
          <w:kern w:val="0"/>
          <w:sz w:val="32"/>
          <w:szCs w:val="32"/>
        </w:rPr>
        <w:t>网上录入界面截屏及样表</w:t>
      </w:r>
      <w:r>
        <w:rPr>
          <w:rFonts w:ascii="方正仿宋_GBK" w:eastAsia="方正仿宋_GBK" w:hint="eastAsia"/>
          <w:kern w:val="0"/>
          <w:sz w:val="32"/>
          <w:szCs w:val="32"/>
        </w:rPr>
        <w:t>见附件</w:t>
      </w:r>
      <w:r>
        <w:rPr>
          <w:rFonts w:ascii="Times New Roman" w:eastAsia="方正仿宋_GBK" w:cs="Times New Roman" w:hAnsi="Times New Roman"/>
          <w:kern w:val="0"/>
          <w:sz w:val="32"/>
          <w:szCs w:val="32"/>
        </w:rPr>
        <w:t>3</w:t>
      </w:r>
      <w:r>
        <w:rPr>
          <w:rFonts w:ascii="方正仿宋_GBK" w:eastAsia="方正仿宋_GBK" w:hint="eastAsia"/>
          <w:kern w:val="0"/>
          <w:sz w:val="32"/>
          <w:szCs w:val="32"/>
        </w:rPr>
        <w:t>)，并根据随附单证要求上传扫描件，电子件1份，申请人自备。随附单证要求：进境肠衣等应由海关总署公布的定点企业生产、加工、存放的，申请单位需提供与定点企业签订的生产、加工、存放合同（如申请单位与定点企业一致的，不需提供。定点企业名单详见总署网址</w:t>
      </w:r>
      <w:r>
        <w:rPr>
          <w:rFonts w:ascii="方正仿宋_GBK" w:eastAsia="方正仿宋_GBK"/>
          <w:kern w:val="0"/>
          <w:sz w:val="32"/>
          <w:szCs w:val="32"/>
        </w:rPr>
        <w:t>，路</w:t>
      </w:r>
      <w:r>
        <w:rPr>
          <w:rFonts w:ascii="方正仿宋_GBK" w:eastAsia="方正仿宋_GBK" w:hint="eastAsia"/>
          <w:kern w:val="0"/>
          <w:sz w:val="32"/>
          <w:szCs w:val="32"/>
        </w:rPr>
        <w:t>径为：</w:t>
      </w:r>
      <w:r>
        <w:rPr>
          <w:rStyle w:val="0"/>
          <w:rFonts w:ascii="方正仿宋_GBK" w:eastAsia="方正仿宋_GBK" w:cs="Times New Roman" w:hint="eastAsia"/>
          <w:bCs/>
          <w:kern w:val="0"/>
          <w:sz w:val="32"/>
          <w:szCs w:val="32"/>
        </w:rPr>
        <w:t>海关总署网站</w:t>
      </w:r>
      <w:r>
        <w:rPr>
          <w:rStyle w:val="0"/>
          <w:rFonts w:ascii="方正仿宋_GBK" w:eastAsia="方正仿宋_GBK" w:cs="Times New Roman"/>
          <w:bCs/>
          <w:kern w:val="0"/>
          <w:sz w:val="32"/>
          <w:szCs w:val="32"/>
        </w:rPr>
        <w:t>-总署概况-企业管理和稽查司-信息服务-出口食品原料种植、养殖场备案名单-进境肠衣定点加工、存放企业名单。</w:t>
      </w: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pStyle w:val="135"/>
        <w:widowControl/>
        <w:snapToGrid w:val="0"/>
        <w:spacing w:line="560" w:lineRule="exact"/>
        <w:ind w:firstLineChars="200" w:firstLine="640"/>
        <w:rPr>
          <w:rFonts w:ascii="Times New Roman" w:eastAsia="方正黑体_GBK" w:hAnsi="Times New Roman"/>
          <w:sz w:val="32"/>
          <w:szCs w:val="32"/>
        </w:rPr>
      </w:pPr>
      <w:r>
        <w:rPr>
          <w:rFonts w:ascii="Times New Roman" w:eastAsia="方正黑体_GBK" w:cs="Times New Roman" w:hAnsi="Times New Roman" w:hint="eastAsia"/>
          <w:sz w:val="32"/>
          <w:szCs w:val="32"/>
        </w:rPr>
        <w:t>十</w:t>
      </w:r>
      <w:r>
        <w:rPr>
          <w:rFonts w:ascii="Times New Roman" w:eastAsia="方正黑体_GBK" w:cs="Times New Roman" w:hAnsi="Times New Roman"/>
          <w:sz w:val="32"/>
          <w:szCs w:val="32"/>
        </w:rPr>
        <w:t>三</w:t>
      </w:r>
      <w:r>
        <w:rPr>
          <w:rFonts w:ascii="Times New Roman" w:eastAsia="方正黑体_GBK" w:cs="Times New Roman" w:hAnsi="Times New Roman" w:hint="eastAsia"/>
          <w:sz w:val="32"/>
          <w:szCs w:val="32"/>
        </w:rPr>
        <w:t>、</w:t>
      </w:r>
      <w:r>
        <w:rPr>
          <w:rFonts w:eastAsia="方正黑体_GBK"/>
          <w:sz w:val="32"/>
          <w:szCs w:val="32"/>
        </w:rPr>
        <w:t>办理流程</w:t>
      </w:r>
      <w:r>
        <w:rPr>
          <w:rFonts w:eastAsia="方正黑体_GBK" w:hint="eastAsia"/>
          <w:sz w:val="32"/>
          <w:szCs w:val="32"/>
        </w:rPr>
        <w:t>：</w:t>
      </w:r>
      <w:r>
        <w:rPr>
          <w:rFonts w:eastAsia="方正黑体_GBK"/>
          <w:sz w:val="32"/>
          <w:szCs w:val="32"/>
        </w:rPr>
        <w:t>详见下图</w:t>
      </w:r>
      <w:bookmarkStart w:id="0" w:name="_GoBack"/>
      <w:bookmarkEnd w:id="0"/>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420"/>
        <w:rPr>
          <w:rFonts w:ascii="Times New Roman" w:eastAsia="方正仿宋_GBK" w:cs="Times New Roman" w:hAnsi="Times New Roman"/>
          <w:sz w:val="32"/>
          <w:szCs w:val="32"/>
        </w:rPr>
      </w:pPr>
      <w:r>
        <w:drawing>
          <wp:anchor distT="0" distB="0" distL="85722" distR="85722" simplePos="0" relativeHeight="16" behindDoc="0" locked="0" layoutInCell="1" hidden="0" allowOverlap="0">
            <wp:simplePos x="0" y="0"/>
            <wp:positionH relativeFrom="column">
              <wp:posOffset>248284</wp:posOffset>
            </wp:positionH>
            <wp:positionV relativeFrom="paragraph">
              <wp:posOffset>275590</wp:posOffset>
            </wp:positionV>
            <wp:extent cx="4681218" cy="4115434"/>
            <wp:effectExtent l="0" t="0" r="0" b="0"/>
            <wp:wrapNone/>
            <wp:docPr id="1" name="图片 1" descr="1973790981527842824180"/>
            <wp:cNvGraphicFramePr>
              <a:graphicFrameLocks noChangeAspect="1"/>
            </wp:cNvGraphicFramePr>
            <a:graphic>
              <a:graphicData uri="http://schemas.openxmlformats.org/drawingml/2006/picture">
                <pic:pic>
                  <pic:nvPicPr>
                    <pic:cNvPr id="3" name="图片 1 3"/>
                    <pic:cNvPicPr/>
                  </pic:nvPicPr>
                  <pic:blipFill>
                    <a:blip r:embed="rId5"/>
                    <a:stretch>
                      <a:fillRect/>
                    </a:stretch>
                  </pic:blipFill>
                  <pic:spPr>
                    <a:xfrm rot="0">
                      <a:off x="0" y="0"/>
                      <a:ext cx="4681218" cy="4115434"/>
                    </a:xfrm>
                    <a:prstGeom prst="rect"/>
                    <a:noFill/>
                    <a:ln w="9525" cmpd="sng" cap="flat">
                      <a:noFill/>
                      <a:prstDash val="solid"/>
                      <a:miter/>
                    </a:ln>
                  </pic:spPr>
                </pic:pic>
              </a:graphicData>
            </a:graphic>
          </wp:anchor>
        </w:drawing>
      </w: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p>
    <w:p>
      <w:pPr>
        <w:adjustRightInd w:val="0"/>
        <w:snapToGrid w:val="0"/>
        <w:spacing w:line="56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hint="eastAsia"/>
          <w:sz w:val="32"/>
          <w:szCs w:val="32"/>
        </w:rPr>
        <w:t>十四、办理形式：</w:t>
      </w:r>
      <w:r>
        <w:rPr>
          <w:rFonts w:ascii="Times New Roman" w:eastAsia="方正仿宋_GBK" w:cs="Times New Roman" w:hAnsi="Times New Roman" w:hint="eastAsia"/>
          <w:sz w:val="32"/>
          <w:szCs w:val="32"/>
        </w:rPr>
        <w:t>网上</w:t>
      </w:r>
      <w:r>
        <w:rPr>
          <w:rFonts w:eastAsia="方正仿宋_GBK" w:hint="eastAsia"/>
          <w:sz w:val="32"/>
          <w:szCs w:val="32"/>
        </w:rPr>
        <w:t>办理</w:t>
      </w:r>
      <w:r>
        <w:rPr>
          <w:rFonts w:ascii="Times New Roman" w:eastAsia="方正仿宋_GBK" w:cs="Times New Roman" w:hAnsi="Times New Roman"/>
          <w:sz w:val="32"/>
          <w:szCs w:val="32"/>
        </w:rPr>
        <w:t>。</w:t>
      </w:r>
    </w:p>
    <w:p>
      <w:pPr>
        <w:adjustRightInd w:val="0"/>
        <w:snapToGrid w:val="0"/>
        <w:spacing w:line="560" w:lineRule="exact"/>
        <w:ind w:firstLineChars="200" w:firstLine="640"/>
        <w:rPr>
          <w:rFonts w:ascii="Times New Roman" w:eastAsia="方正仿宋_GBK" w:hAnsi="Times New Roman"/>
          <w:sz w:val="32"/>
          <w:szCs w:val="32"/>
        </w:rPr>
      </w:pPr>
      <w:r>
        <w:rPr>
          <w:rFonts w:eastAsia="方正黑体_GBK" w:hint="eastAsia"/>
          <w:sz w:val="32"/>
          <w:szCs w:val="32"/>
        </w:rPr>
        <w:t>十五、到办理现场次数：</w:t>
      </w:r>
      <w:r>
        <w:rPr>
          <w:rFonts w:ascii="Times New Roman" w:eastAsia="方正仿宋_GBK" w:cs="Times New Roman" w:hAnsi="Times New Roman" w:hint="eastAsia"/>
          <w:sz w:val="32"/>
          <w:szCs w:val="32"/>
        </w:rPr>
        <w:t>0</w:t>
      </w:r>
      <w:r>
        <w:rPr>
          <w:rFonts w:eastAsia="方正仿宋_GBK" w:hint="eastAsia"/>
          <w:sz w:val="32"/>
          <w:szCs w:val="32"/>
        </w:rPr>
        <w:t>次。</w:t>
      </w:r>
    </w:p>
    <w:p>
      <w:pPr>
        <w:wordWrap w:val="0"/>
        <w:adjustRightInd w:val="0"/>
        <w:snapToGrid w:val="0"/>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hint="eastAsia"/>
          <w:sz w:val="32"/>
          <w:szCs w:val="32"/>
        </w:rPr>
        <w:t>十六、审查标准：</w:t>
      </w:r>
    </w:p>
    <w:p>
      <w:pPr>
        <w:wordWrap w:val="0"/>
        <w:adjustRightInd w:val="0"/>
        <w:snapToGrid w:val="0"/>
        <w:spacing w:line="560" w:lineRule="exact"/>
        <w:ind w:firstLineChars="200" w:firstLine="640"/>
        <w:rPr>
          <w:rFonts w:ascii="Times New Roman" w:eastAsia="方正黑体简体" w:cs="Times New Roman" w:hAnsi="Times New Roman"/>
          <w:sz w:val="28"/>
          <w:szCs w:val="28"/>
        </w:rPr>
      </w:pPr>
      <w:r>
        <w:rPr>
          <w:rFonts w:ascii="Times New Roman" w:eastAsia="方正仿宋_GBK" w:cs="Times New Roman" w:hAnsi="Times New Roman" w:hint="eastAsia"/>
          <w:bCs/>
          <w:sz w:val="32"/>
          <w:szCs w:val="32"/>
        </w:rPr>
        <w:t>申请材料填写准确、完整、真实、有效。</w:t>
      </w:r>
    </w:p>
    <w:p>
      <w:pPr>
        <w:wordWrap w:val="0"/>
        <w:adjustRightInd w:val="0"/>
        <w:snapToGrid w:val="0"/>
        <w:spacing w:line="560" w:lineRule="exact"/>
        <w:ind w:firstLineChars="200" w:firstLine="640"/>
        <w:rPr>
          <w:rFonts w:ascii="Times New Roman" w:eastAsia="方正黑体简体" w:cs="Times New Roman" w:hAnsi="Times New Roman"/>
          <w:sz w:val="28"/>
          <w:szCs w:val="28"/>
        </w:rPr>
      </w:pPr>
      <w:r>
        <w:rPr>
          <w:rFonts w:ascii="Times New Roman" w:eastAsia="方正黑体_GBK" w:cs="Times New Roman" w:hAnsi="Times New Roman" w:hint="eastAsia"/>
          <w:bCs/>
          <w:sz w:val="32"/>
          <w:szCs w:val="32"/>
        </w:rPr>
        <w:t>十七、通办范围：</w:t>
      </w:r>
      <w:r>
        <w:rPr>
          <w:rFonts w:ascii="Times New Roman" w:eastAsia="方正仿宋_GBK" w:cs="Times New Roman" w:hAnsi="Times New Roman" w:hint="eastAsia"/>
          <w:bCs/>
          <w:sz w:val="32"/>
          <w:szCs w:val="32"/>
        </w:rPr>
        <w:t>天津海关关区</w:t>
      </w:r>
    </w:p>
    <w:p>
      <w:pPr>
        <w:wordWrap w:val="0"/>
        <w:spacing w:line="560" w:lineRule="exact"/>
        <w:ind w:firstLineChars="200" w:firstLine="640"/>
        <w:rPr>
          <w:rFonts w:ascii="Times New Roman" w:eastAsia="方正仿宋_GBK" w:cs="Times New Roman" w:hAnsi="Times New Roman"/>
          <w:b/>
          <w:bCs/>
          <w:sz w:val="32"/>
          <w:szCs w:val="32"/>
        </w:rPr>
      </w:pPr>
      <w:r>
        <w:rPr>
          <w:rFonts w:ascii="Times New Roman" w:eastAsia="方正黑体_GBK" w:cs="Times New Roman" w:hAnsi="Times New Roman" w:hint="eastAsia"/>
          <w:bCs/>
          <w:sz w:val="32"/>
          <w:szCs w:val="32"/>
        </w:rPr>
        <w:t>十八、预约办理：</w:t>
      </w:r>
      <w:r>
        <w:rPr>
          <w:rFonts w:ascii="Times New Roman" w:eastAsia="方正仿宋_GBK" w:cs="Times New Roman" w:hAnsi="Times New Roman" w:hint="eastAsia"/>
          <w:bCs/>
          <w:sz w:val="32"/>
          <w:szCs w:val="32"/>
        </w:rPr>
        <w:t>否</w:t>
      </w:r>
    </w:p>
    <w:p>
      <w:pPr>
        <w:wordWrap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cs="Times New Roman" w:hAnsi="Times New Roman" w:hint="eastAsia"/>
          <w:bCs/>
          <w:sz w:val="32"/>
          <w:szCs w:val="32"/>
        </w:rPr>
        <w:t>十九、网上支付：</w:t>
      </w:r>
      <w:r>
        <w:rPr>
          <w:rFonts w:ascii="Times New Roman" w:eastAsia="方正仿宋_GBK" w:cs="Times New Roman" w:hAnsi="Times New Roman" w:hint="eastAsia"/>
          <w:bCs/>
          <w:sz w:val="32"/>
          <w:szCs w:val="32"/>
        </w:rPr>
        <w:t>否</w:t>
      </w:r>
    </w:p>
    <w:p>
      <w:pPr>
        <w:wordWrap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cs="Times New Roman" w:hAnsi="Times New Roman" w:hint="eastAsia"/>
          <w:bCs/>
          <w:sz w:val="32"/>
          <w:szCs w:val="32"/>
        </w:rPr>
        <w:t>二十、物流快递：</w:t>
      </w:r>
      <w:r>
        <w:rPr>
          <w:rFonts w:ascii="Times New Roman" w:eastAsia="方正仿宋_GBK" w:cs="Times New Roman" w:hAnsi="Times New Roman" w:hint="eastAsia"/>
          <w:bCs/>
          <w:sz w:val="32"/>
          <w:szCs w:val="32"/>
        </w:rPr>
        <w:t>否</w:t>
      </w:r>
    </w:p>
    <w:p>
      <w:pPr>
        <w:wordWrap w:val="0"/>
        <w:spacing w:line="560" w:lineRule="exact"/>
        <w:ind w:firstLineChars="200" w:firstLine="640"/>
        <w:rPr>
          <w:rFonts w:ascii="Times New Roman" w:eastAsia="方正黑体_GBK" w:cs="Times New Roman" w:hAnsi="Times New Roman"/>
          <w:bCs/>
          <w:sz w:val="32"/>
          <w:szCs w:val="32"/>
        </w:rPr>
      </w:pPr>
      <w:r>
        <w:rPr>
          <w:rFonts w:ascii="Times New Roman" w:eastAsia="方正黑体_GBK" w:cs="Times New Roman" w:hAnsi="Times New Roman" w:hint="eastAsia"/>
          <w:bCs/>
          <w:sz w:val="32"/>
          <w:szCs w:val="32"/>
        </w:rPr>
        <w:t>二十一、办理地点：</w:t>
      </w:r>
    </w:p>
    <w:p>
      <w:pPr>
        <w:wordWrap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海关行政审批网上办理平台</w:t>
      </w:r>
      <w:r>
        <w:rPr>
          <w:rFonts w:ascii="Times New Roman" w:eastAsia="方正仿宋_GBK" w:cs="Times New Roman" w:hAnsi="Times New Roman"/>
          <w:sz w:val="32"/>
          <w:szCs w:val="32"/>
        </w:rPr>
        <w:t>，路径为：海关总署网站-海关政务服务平台-我要办-行政审批-过境动物、进境特定动植物及其产品检疫审批。</w:t>
      </w:r>
    </w:p>
    <w:p>
      <w:pPr>
        <w:adjustRightInd w:val="0"/>
        <w:snapToGrid w:val="0"/>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hint="eastAsia"/>
          <w:sz w:val="32"/>
          <w:szCs w:val="32"/>
        </w:rPr>
        <w:t>二十二</w:t>
      </w:r>
      <w:r>
        <w:rPr>
          <w:rFonts w:ascii="Times New Roman" w:eastAsia="方正黑体_GBK" w:cs="Times New Roman" w:hAnsi="Times New Roman"/>
          <w:sz w:val="32"/>
          <w:szCs w:val="32"/>
        </w:rPr>
        <w:t>、</w:t>
      </w:r>
      <w:r>
        <w:rPr>
          <w:rFonts w:ascii="Times New Roman" w:eastAsia="方正黑体_GBK" w:cs="Times New Roman" w:hAnsi="Times New Roman" w:hint="eastAsia"/>
          <w:sz w:val="32"/>
          <w:szCs w:val="32"/>
        </w:rPr>
        <w:t>办理时间：</w:t>
      </w:r>
    </w:p>
    <w:p>
      <w:pPr>
        <w:wordWrap w:val="0"/>
        <w:spacing w:line="560" w:lineRule="exact"/>
        <w:ind w:firstLineChars="200" w:firstLine="640"/>
        <w:rPr>
          <w:rFonts w:eastAsia="方正仿宋_GBK"/>
          <w:bCs/>
          <w:sz w:val="32"/>
          <w:szCs w:val="32"/>
        </w:rPr>
      </w:pPr>
      <w:r>
        <w:rPr>
          <w:rFonts w:eastAsia="方正仿宋_GBK" w:hint="eastAsia"/>
          <w:bCs/>
          <w:sz w:val="32"/>
          <w:szCs w:val="32"/>
        </w:rPr>
        <w:t>企业申请时间：24小时。</w:t>
      </w:r>
    </w:p>
    <w:p>
      <w:pPr>
        <w:wordWrap w:val="0"/>
        <w:spacing w:line="560" w:lineRule="exact"/>
        <w:ind w:firstLineChars="200" w:firstLine="640"/>
        <w:rPr>
          <w:rFonts w:eastAsia="方正仿宋_GBK"/>
          <w:bCs/>
          <w:sz w:val="32"/>
          <w:szCs w:val="32"/>
        </w:rPr>
      </w:pPr>
      <w:r>
        <w:rPr>
          <w:rFonts w:eastAsia="方正仿宋_GBK" w:hint="eastAsia"/>
          <w:bCs/>
          <w:sz w:val="32"/>
          <w:szCs w:val="32"/>
        </w:rPr>
        <w:t>海关审核时间：工作日: 9:00-12:00;13:30-17:00。</w:t>
      </w:r>
    </w:p>
    <w:p>
      <w:pPr>
        <w:adjustRightInd w:val="0"/>
        <w:snapToGrid w:val="0"/>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hint="eastAsia"/>
          <w:sz w:val="32"/>
          <w:szCs w:val="32"/>
        </w:rPr>
        <w:t>二十三</w:t>
      </w:r>
      <w:r>
        <w:rPr>
          <w:rFonts w:ascii="Times New Roman" w:eastAsia="方正黑体_GBK" w:cs="Times New Roman" w:hAnsi="Times New Roman"/>
          <w:sz w:val="32"/>
          <w:szCs w:val="32"/>
        </w:rPr>
        <w:t>、咨询电话：</w:t>
      </w:r>
      <w:r>
        <w:rPr>
          <w:rFonts w:ascii="Times New Roman" w:eastAsia="方正黑体_GBK" w:cs="Times New Roman" w:hAnsi="Times New Roman" w:hint="eastAsia"/>
          <w:sz w:val="32"/>
          <w:szCs w:val="32"/>
        </w:rPr>
        <w:t xml:space="preserve"> 022-24538058</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黑体_GBK" w:cs="Times New Roman" w:hAnsi="Times New Roman" w:hint="eastAsia"/>
          <w:sz w:val="32"/>
          <w:szCs w:val="32"/>
        </w:rPr>
        <w:t>二十四</w:t>
      </w:r>
      <w:r>
        <w:rPr>
          <w:rFonts w:ascii="Times New Roman" w:eastAsia="方正黑体_GBK" w:cs="Times New Roman" w:hAnsi="Times New Roman"/>
          <w:sz w:val="32"/>
          <w:szCs w:val="32"/>
        </w:rPr>
        <w:t>、</w:t>
      </w:r>
      <w:r>
        <w:rPr>
          <w:rFonts w:ascii="Times New Roman" w:eastAsia="方正黑体_GBK" w:cs="Times New Roman" w:hAnsi="Times New Roman" w:hint="eastAsia"/>
          <w:sz w:val="32"/>
          <w:szCs w:val="32"/>
        </w:rPr>
        <w:t>监督</w:t>
      </w:r>
      <w:r>
        <w:rPr>
          <w:rFonts w:ascii="Times New Roman" w:eastAsia="方正黑体_GBK" w:cs="Times New Roman" w:hAnsi="Times New Roman"/>
          <w:sz w:val="32"/>
          <w:szCs w:val="32"/>
        </w:rPr>
        <w:t>电话：</w:t>
      </w:r>
      <w:r>
        <w:rPr>
          <w:rFonts w:ascii="Times New Roman" w:eastAsia="方正仿宋_GBK" w:hAnsi="Times New Roman" w:hint="eastAsia"/>
          <w:sz w:val="32"/>
          <w:szCs w:val="32"/>
        </w:rPr>
        <w:t>海关“12360”热线。</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br w:type="page"/>
      </w:r>
      <w:r>
        <w:rPr>
          <w:rFonts w:ascii="Times New Roman" w:eastAsia="方正仿宋_GBK" w:hAnsi="Times New Roman" w:hint="eastAsia"/>
          <w:sz w:val="32"/>
          <w:szCs w:val="32"/>
        </w:rPr>
        <w:t>附件1：</w:t>
      </w:r>
    </w:p>
    <w:p>
      <w:pPr>
        <w:adjustRightInd w:val="0"/>
        <w:snapToGrid w:val="0"/>
        <w:spacing w:line="560" w:lineRule="exact"/>
        <w:ind w:firstLineChars="200" w:firstLine="420"/>
        <w:rPr>
          <w:rFonts w:ascii="Times New Roman" w:eastAsia="方正仿宋_GBK" w:hAnsi="Times New Roman"/>
          <w:sz w:val="32"/>
          <w:szCs w:val="32"/>
        </w:rPr>
      </w:pPr>
      <w:r>
        <w:drawing>
          <wp:anchor distT="0" distB="0" distL="91438" distR="91438" simplePos="0" relativeHeight="17" behindDoc="1" locked="0" layoutInCell="1" hidden="0" allowOverlap="1">
            <wp:simplePos x="0" y="0"/>
            <wp:positionH relativeFrom="column">
              <wp:posOffset>38100</wp:posOffset>
            </wp:positionH>
            <wp:positionV relativeFrom="paragraph">
              <wp:posOffset>106680</wp:posOffset>
            </wp:positionV>
            <wp:extent cx="5267325" cy="7134224"/>
            <wp:effectExtent l="0" t="0" r="0" b="0"/>
            <wp:wrapTopAndBottom/>
            <wp:docPr id="4" name="图片 4"/>
            <wp:cNvGraphicFramePr>
              <a:graphicFrameLocks noChangeAspect="1"/>
            </wp:cNvGraphicFramePr>
            <a:graphic>
              <a:graphicData uri="http://schemas.openxmlformats.org/drawingml/2006/picture">
                <pic:pic>
                  <pic:nvPicPr>
                    <pic:cNvPr id="6" name="图片 4 6"/>
                    <pic:cNvPicPr/>
                  </pic:nvPicPr>
                  <pic:blipFill>
                    <a:blip r:embed="rId6"/>
                    <a:stretch>
                      <a:fillRect/>
                    </a:stretch>
                  </pic:blipFill>
                  <pic:spPr>
                    <a:xfrm rot="0">
                      <a:off x="0" y="0"/>
                      <a:ext cx="5267325" cy="7134224"/>
                    </a:xfrm>
                    <a:prstGeom prst="rect"/>
                    <a:noFill/>
                    <a:ln w="9525" cmpd="sng" cap="flat">
                      <a:noFill/>
                      <a:prstDash val="solid"/>
                      <a:miter/>
                    </a:ln>
                  </pic:spPr>
                </pic:pic>
              </a:graphicData>
            </a:graphic>
          </wp:anchor>
        </w:drawing>
      </w:r>
      <w:r>
        <w:rPr>
          <w:rFonts w:ascii="Times New Roman" w:eastAsia="方正仿宋_GBK" w:hAnsi="Times New Roman"/>
          <w:sz w:val="32"/>
          <w:szCs w:val="32"/>
        </w:rPr>
        <w:br w:type="page"/>
      </w:r>
      <w:r>
        <w:drawing>
          <wp:anchor distT="0" distB="0" distL="91438" distR="91438" simplePos="0" relativeHeight="18" behindDoc="1" locked="0" layoutInCell="1" hidden="0" allowOverlap="1">
            <wp:simplePos x="0" y="0"/>
            <wp:positionH relativeFrom="column">
              <wp:posOffset>-579119</wp:posOffset>
            </wp:positionH>
            <wp:positionV relativeFrom="paragraph">
              <wp:posOffset>590550</wp:posOffset>
            </wp:positionV>
            <wp:extent cx="6160770" cy="7610474"/>
            <wp:effectExtent l="0" t="0" r="0" b="0"/>
            <wp:wrapTopAndBottom/>
            <wp:docPr id="7" name="图片 7"/>
            <wp:cNvGraphicFramePr>
              <a:graphicFrameLocks noChangeAspect="1"/>
            </wp:cNvGraphicFramePr>
            <a:graphic>
              <a:graphicData uri="http://schemas.openxmlformats.org/drawingml/2006/picture">
                <pic:pic>
                  <pic:nvPicPr>
                    <pic:cNvPr id="9" name="图片 7 9"/>
                    <pic:cNvPicPr/>
                  </pic:nvPicPr>
                  <pic:blipFill>
                    <a:blip r:embed="rId7"/>
                    <a:stretch>
                      <a:fillRect/>
                    </a:stretch>
                  </pic:blipFill>
                  <pic:spPr>
                    <a:xfrm rot="0">
                      <a:off x="0" y="0"/>
                      <a:ext cx="6160770" cy="7610474"/>
                    </a:xfrm>
                    <a:prstGeom prst="rect"/>
                    <a:noFill/>
                    <a:ln w="9525" cmpd="sng" cap="flat">
                      <a:noFill/>
                      <a:prstDash val="solid"/>
                      <a:miter/>
                    </a:ln>
                  </pic:spPr>
                </pic:pic>
              </a:graphicData>
            </a:graphic>
          </wp:anchor>
        </w:drawing>
      </w:r>
      <w:r>
        <w:rPr>
          <w:rFonts w:ascii="Times New Roman" w:eastAsia="方正仿宋_GBK" w:hAnsi="Times New Roman" w:hint="eastAsia"/>
          <w:sz w:val="32"/>
          <w:szCs w:val="32"/>
        </w:rPr>
        <w:t>附件2：</w:t>
      </w:r>
    </w:p>
    <w:p>
      <w:pPr>
        <w:adjustRightInd w:val="0"/>
        <w:snapToGrid w:val="0"/>
        <w:spacing w:line="560" w:lineRule="exact"/>
        <w:ind w:firstLineChars="200" w:firstLine="640"/>
        <w:rPr>
          <w:rFonts w:ascii="Times New Roman" w:eastAsia="方正仿宋_GBK" w:hAnsi="Times New Roman"/>
          <w:sz w:val="32"/>
          <w:szCs w:val="32"/>
        </w:rPr>
      </w:pPr>
    </w:p>
    <w:p>
      <w:pPr>
        <w:adjustRightInd w:val="0"/>
        <w:snapToGrid w:val="0"/>
        <w:spacing w:line="560" w:lineRule="exact"/>
        <w:ind w:firstLineChars="200" w:firstLine="640"/>
        <w:rPr>
          <w:rFonts w:ascii="Times New Roman" w:eastAsia="方正仿宋_GBK" w:hAnsi="Times New Roman"/>
          <w:sz w:val="32"/>
          <w:szCs w:val="32"/>
        </w:rPr>
        <w:sectPr>
          <w:headerReference w:type="default" r:id="rId2"/>
          <w:headerReference w:type="even" r:id="rId3"/>
          <w:footerReference w:type="default" r:id="rId4"/>
          <w:pgSz w:w="11906" w:h="16838"/>
          <w:pgMar w:top="1440" w:right="1800" w:bottom="1440" w:left="1800" w:header="851" w:footer="992" w:gutter="0"/>
          <w:docGrid w:type="lines" w:linePitch="312" w:charSpace="0"/>
        </w:sectPr>
      </w:pPr>
    </w:p>
    <w:p>
      <w:pPr>
        <w:rPr>
          <w:rFonts w:ascii="方正黑体_GBK" w:eastAsia="方正黑体_GBK"/>
          <w:sz w:val="24"/>
          <w:szCs w:val="24"/>
        </w:rPr>
      </w:pPr>
      <w:r>
        <w:rPr>
          <w:rFonts w:ascii="方正黑体_GBK" w:eastAsia="方正黑体_GBK" w:hint="eastAsia"/>
          <w:sz w:val="24"/>
          <w:szCs w:val="24"/>
        </w:rPr>
        <w:t>附件3.                  中国海关进境动植物检疫审批管理系统录入界面截屏及样表</w:t>
      </w:r>
    </w:p>
    <w:p>
      <w:r>
        <w:drawing>
          <wp:inline distT="0" distB="0" distL="91438" distR="91438">
            <wp:extent cx="8467725" cy="4686300"/>
            <wp:effectExtent l="0" t="0" r="0" b="0"/>
            <wp:docPr id="10" name="图片 10"/>
            <wp:cNvGraphicFramePr>
              <a:graphicFrameLocks noChangeAspect="1"/>
            </wp:cNvGraphicFramePr>
            <a:graphic>
              <a:graphicData uri="http://schemas.openxmlformats.org/drawingml/2006/picture">
                <pic:pic>
                  <pic:nvPicPr>
                    <pic:cNvPr id="12" name="图片 10 12"/>
                    <pic:cNvPicPr/>
                  </pic:nvPicPr>
                  <pic:blipFill>
                    <a:blip r:embed="rId8"/>
                    <a:stretch>
                      <a:fillRect/>
                    </a:stretch>
                  </pic:blipFill>
                  <pic:spPr>
                    <a:xfrm rot="0">
                      <a:off x="0" y="0"/>
                      <a:ext cx="8467725" cy="4686300"/>
                    </a:xfrm>
                    <a:prstGeom prst="rect"/>
                    <a:noFill/>
                    <a:ln w="9525" cmpd="sng" cap="flat">
                      <a:noFill/>
                      <a:prstDash val="solid"/>
                      <a:miter/>
                    </a:ln>
                  </pic:spPr>
                </pic:pic>
              </a:graphicData>
            </a:graphic>
          </wp:inline>
        </w:drawing>
      </w:r>
    </w:p>
    <w:p>
      <w:pPr>
        <w:jc w:val="center"/>
      </w:pPr>
      <w:r>
        <w:rPr>
          <w:rFonts w:ascii="方正黑体_GBK" w:eastAsia="方正黑体_GBK" w:hint="eastAsia"/>
          <w:sz w:val="24"/>
          <w:szCs w:val="24"/>
        </w:rPr>
        <w:t>样表</w:t>
      </w:r>
    </w:p>
    <w:p>
      <w:r>
        <w:drawing>
          <wp:inline distT="0" distB="0" distL="91438" distR="91438">
            <wp:extent cx="8896350" cy="4419600"/>
            <wp:effectExtent l="0" t="0" r="0" b="0"/>
            <wp:docPr id="13" name="图片 13"/>
            <wp:cNvGraphicFramePr>
              <a:graphicFrameLocks noChangeAspect="1"/>
            </wp:cNvGraphicFramePr>
            <a:graphic>
              <a:graphicData uri="http://schemas.openxmlformats.org/drawingml/2006/picture">
                <pic:pic>
                  <pic:nvPicPr>
                    <pic:cNvPr id="15" name="图片 13 15"/>
                    <pic:cNvPicPr/>
                  </pic:nvPicPr>
                  <pic:blipFill>
                    <a:blip r:embed="rId9"/>
                    <a:stretch>
                      <a:fillRect/>
                    </a:stretch>
                  </pic:blipFill>
                  <pic:spPr>
                    <a:xfrm rot="0">
                      <a:off x="0" y="0"/>
                      <a:ext cx="8896350" cy="4419600"/>
                    </a:xfrm>
                    <a:prstGeom prst="rect"/>
                    <a:noFill/>
                    <a:ln w="9525" cmpd="sng" cap="flat">
                      <a:noFill/>
                      <a:prstDash val="solid"/>
                      <a:miter/>
                    </a:ln>
                  </pic:spPr>
                </pic:pic>
              </a:graphicData>
            </a:graphic>
          </wp:inline>
        </w:drawing>
      </w:r>
    </w:p>
    <w:sectPr>
      <w:pgSz w:w="16838" w:h="11906" w:orient="landscape"/>
      <w:pgMar w:top="1797" w:right="1440" w:bottom="1797" w:left="1440" w:header="851" w:footer="992" w:gutter="0"/>
      <w:docGrid w:type="linesAndChar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0000000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方正黑体_GBK">
    <w:altName w:val="微软雅黑"/>
    <w:panose1 w:val="00000000000000000000"/>
    <w:charset w:val="86"/>
    <w:family w:val="script"/>
    <w:pitch w:val="variable"/>
    <w:sig w:usb0="00000001" w:usb1="080E0000" w:usb2="00000010" w:usb3="00000000" w:csb0="00040000" w:csb1="00000000"/>
  </w:font>
  <w:font w:name="方正仿宋_GBK">
    <w:altName w:val="微软雅黑"/>
    <w:panose1 w:val="00000000000000000000"/>
    <w:charset w:val="86"/>
    <w:family w:val="script"/>
    <w:pitch w:val="variable"/>
    <w:sig w:usb0="00000001" w:usb1="080E0000" w:usb2="00000010" w:usb3="00000000" w:csb0="00040000" w:csb1="00000000"/>
  </w:font>
  <w:font w:name="方正黑体简体">
    <w:altName w:val="宋体"/>
    <w:panose1 w:val="00000000000000000000"/>
    <w:charset w:val="86"/>
    <w:family w:val="auto"/>
    <w:pitch w:val="variable"/>
    <w:sig w:usb0="00000000"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altName w:val="Times New Roman"/>
    <w:panose1 w:val="020F0502020204030204"/>
    <w:charset w:val="00"/>
    <w:family w:val="swiss"/>
    <w:pitch w:val="variable"/>
    <w:sig w:usb0="E4002EFF" w:usb1="C000247B" w:usb2="00000009" w:usb3="00000000" w:csb0="000001FF" w:csb1="00000000"/>
  </w:font>
  <w:font w:name="Arial">
    <w:altName w:val="DejaVu Sans"/>
    <w:panose1 w:val="020B0604020202020204"/>
    <w:charset w:val="00"/>
    <w:family w:val="swiss"/>
    <w:pitch w:val="variable"/>
    <w:sig w:usb0="E0002EFF" w:usb1="C000785B" w:usb2="00000009" w:usb3="00000000" w:csb0="000001FF" w:csb1="00000000"/>
  </w:font>
  <w:font w:name="黑体">
    <w:altName w:val="宋体"/>
    <w:panose1 w:val="02010609060101010101"/>
    <w:charset w:val="86"/>
    <w:family w:val="modern"/>
    <w:pitch w:val="variable"/>
    <w:sig w:usb0="800002BF" w:usb1="38CF7CFA" w:usb2="00000016" w:usb3="00000000" w:csb0="00040001" w:csb1="00000000"/>
  </w:font>
  <w:font w:name="Arial Unicode MS">
    <w:altName w:val="宋体"/>
    <w:panose1 w:val="020B0604020202020204"/>
    <w:charset w:val="86"/>
    <w:family w:val="swiss"/>
    <w:pitch w:val="variable"/>
    <w:sig w:usb0="F7FFAFFF" w:usb1="E9DFFFFF" w:usb2="0000003F" w:usb3="00000000" w:csb0="003F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7"/>
      </w:tabs>
      <w:jc w:val="center"/>
    </w:pPr>
    <w:r>
      <w:fldChar w:fldCharType="begin"/>
    </w:r>
    <w:r>
      <w:instrText>PAGE   \* MERGEFORMAT</w:instrText>
    </w:r>
    <w:r>
      <w:fldChar w:fldCharType="separate"/>
    </w:r>
    <w:r>
      <w:rPr>
        <w:lang w:val="zh-CN"/>
      </w:rPr>
      <w:t>8</w:t>
    </w:r>
    <w:r>
      <w:rPr>
        <w:lang w:val="zh-CN"/>
      </w:rPr>
      <w:fldChar w:fldCharType="end"/>
    </w:r>
  </w:p>
  <w:p>
    <w:pPr>
      <w:pStyle w:val="21"/>
      <w:tabs>
        <w:tab w:val="center" w:pos="4153"/>
        <w:tab w:val="right" w:pos="8307"/>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pBdr>
        <w:bottom w:val="none" w:sz="0" w:space="0" w:color="auto"/>
      </w:pBdr>
      <w:tabs>
        <w:tab w:val="center" w:pos="4153"/>
        <w:tab w:val="right" w:pos="8307"/>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pBdr>
        <w:bottom w:val="none" w:sz="0" w:space="0" w:color="auto"/>
      </w:pBdr>
      <w:tabs>
        <w:tab w:val="center" w:pos="4153"/>
        <w:tab w:val="right" w:pos="8307"/>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8C1F52C"/>
    <w:multiLevelType w:val="multilevel"/>
    <w:tmpl w:val="2AAC5EBE"/>
    <w:lvl w:ilvl="0">
      <w:start w:val="1"/>
      <w:numFmt w:val="japaneseCounting"/>
      <w:lvlRestart w:val="0"/>
      <w:pStyle w:val="33"/>
      <w:lvlText w:val="（%1）"/>
      <w:lvlJc w:val="left"/>
      <w:pPr>
        <w:tabs>
          <w:tab w:val="num" w:pos="0"/>
        </w:tabs>
        <w:ind w:left="839" w:hanging="419"/>
      </w:pPr>
      <w:rPr>
        <w:rFonts w:ascii="宋体" w:hAnsi="宋体" w:eastAsia="方正仿宋_GBK" w:cs="Times New Roman"/>
        <w:b w:val="0"/>
        <w:i w:val="0"/>
        <w:sz w:val="20"/>
        <w:szCs w:val="21"/>
      </w:rPr>
    </w:lvl>
    <w:lvl w:ilvl="1">
      <w:start w:val="1"/>
      <w:numFmt w:val="decimal"/>
      <w:pStyle w:val="32"/>
      <w:lvlText w:val="%2)"/>
      <w:lvlJc w:val="left"/>
      <w:pPr>
        <w:tabs>
          <w:tab w:val="num" w:pos="0"/>
        </w:tabs>
        <w:ind w:left="1259" w:hanging="420"/>
      </w:pPr>
      <w:rPr>
        <w:rFonts w:ascii="宋体" w:hAnsi="宋体" w:eastAsia="宋体" w:hint="eastAsia"/>
        <w:b w:val="0"/>
        <w:i w:val="0"/>
        <w:sz w:val="20"/>
      </w:rPr>
    </w:lvl>
    <w:lvl w:ilvl="2">
      <w:start w:val="1"/>
      <w:numFmt w:val="decimal"/>
      <w:pStyle w:val="34"/>
      <w:lvlText w:val="(%3)"/>
      <w:lvlJc w:val="left"/>
      <w:pPr>
        <w:tabs>
          <w:tab w:val="num" w:pos="0"/>
        </w:tabs>
        <w:ind w:left="1678" w:hanging="419"/>
      </w:pPr>
      <w:rPr>
        <w:rFonts w:ascii="宋体" w:hAnsi="宋体" w:eastAsia="宋体" w:hint="eastAsia"/>
        <w:b w:val="0"/>
        <w:i w:val="0"/>
        <w:sz w:val="20"/>
        <w:szCs w:val="21"/>
      </w:rPr>
    </w:lvl>
    <w:lvl w:ilvl="3">
      <w:start w:val="1"/>
      <w:numFmt w:val="decimal"/>
      <w:lvlText w:val="%4."/>
      <w:lvlJc w:val="left"/>
      <w:pPr>
        <w:tabs>
          <w:tab w:val="num" w:pos="0"/>
        </w:tabs>
        <w:ind w:left="2098" w:hanging="420"/>
      </w:pPr>
      <w:rPr>
        <w:rFonts w:hint="eastAsia"/>
      </w:rPr>
    </w:lvl>
    <w:lvl w:ilvl="4">
      <w:start w:val="1"/>
      <w:numFmt w:val="lowerLetter"/>
      <w:lvlText w:val="%5)"/>
      <w:lvlJc w:val="left"/>
      <w:pPr>
        <w:tabs>
          <w:tab w:val="num" w:pos="0"/>
        </w:tabs>
        <w:ind w:left="2517" w:hanging="419"/>
      </w:pPr>
      <w:rPr>
        <w:rFonts w:ascii="宋体" w:hAnsi="宋体" w:eastAsia="宋体" w:cs="Times New Roman"/>
      </w:rPr>
    </w:lvl>
    <w:lvl w:ilvl="5">
      <w:start w:val="1"/>
      <w:numFmt w:val="lowerRoman"/>
      <w:lvlText w:val="%6."/>
      <w:lvlJc w:val="right"/>
      <w:pPr>
        <w:tabs>
          <w:tab w:val="num" w:pos="0"/>
        </w:tabs>
        <w:ind w:left="2937" w:hanging="420"/>
      </w:pPr>
      <w:rPr>
        <w:rFonts w:hint="eastAsia"/>
      </w:rPr>
    </w:lvl>
    <w:lvl w:ilvl="6">
      <w:start w:val="1"/>
      <w:numFmt w:val="decimal"/>
      <w:lvlText w:val="%7."/>
      <w:lvlJc w:val="left"/>
      <w:pPr>
        <w:tabs>
          <w:tab w:val="num" w:pos="0"/>
        </w:tabs>
        <w:ind w:left="3356" w:hanging="414"/>
      </w:pPr>
      <w:rPr>
        <w:rFonts w:hint="eastAsia"/>
      </w:rPr>
    </w:lvl>
    <w:lvl w:ilvl="7">
      <w:start w:val="1"/>
      <w:numFmt w:val="lowerLetter"/>
      <w:lvlText w:val="%8)"/>
      <w:lvlJc w:val="left"/>
      <w:pPr>
        <w:tabs>
          <w:tab w:val="num" w:pos="0"/>
        </w:tabs>
        <w:ind w:left="3776" w:hanging="414"/>
      </w:pPr>
      <w:rPr>
        <w:rFonts w:hint="eastAsia"/>
      </w:rPr>
    </w:lvl>
    <w:lvl w:ilvl="8">
      <w:start w:val="1"/>
      <w:numFmt w:val="lowerRoman"/>
      <w:lvlText w:val="%9."/>
      <w:lvlJc w:val="right"/>
      <w:pPr>
        <w:tabs>
          <w:tab w:val="num" w:pos="0"/>
        </w:tabs>
        <w:ind w:left="4201" w:hanging="42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48"/>
  <w:doNotDisplayPageBoundaries/>
  <w:displayBackgroundShape/>
  <w:bordersDoNotSurroundHeader/>
  <w:bordersDoNotSurroundFooter/>
  <w:trackRevisions/>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7"/>
    <w:basedOn w:val="0"/>
    <w:autoRedefine/>
    <w:next w:val="0"/>
    <w:pPr>
      <w:ind w:left="2520"/>
    </w:pPr>
  </w:style>
  <w:style w:type="paragraph" w:styleId="16">
    <w:name w:val="index 8"/>
    <w:basedOn w:val="0"/>
    <w:autoRedefine/>
    <w:next w:val="0"/>
    <w:pPr>
      <w:ind w:left="2940"/>
    </w:pPr>
  </w:style>
  <w:style w:type="paragraph" w:styleId="17">
    <w:name w:val="index 9"/>
    <w:basedOn w:val="0"/>
    <w:autoRedefine/>
    <w:next w:val="0"/>
    <w:pPr>
      <w:ind w:left="3360"/>
    </w:pPr>
  </w:style>
  <w:style w:type="paragraph" w:styleId="18">
    <w:name w:val="toc 1"/>
    <w:basedOn w:val="0"/>
    <w:autoRedefine/>
    <w:next w:val="0"/>
  </w:style>
  <w:style w:type="paragraph" w:styleId="19">
    <w:name w:val="footnote text"/>
    <w:next w:val="0"/>
    <w:pPr>
      <w:widowControl w:val="0"/>
      <w:snapToGrid w:val="0"/>
    </w:pPr>
    <w:rPr>
      <w:rFonts w:ascii="Times New Roman" w:eastAsia="宋体" w:cs="Arial" w:hAnsi="Times New Roman"/>
      <w:sz w:val="18"/>
      <w:szCs w:val="21"/>
      <w:lang w:val="en-US" w:eastAsia="zh-CN" w:bidi="ar-SA"/>
    </w:rPr>
  </w:style>
  <w:style w:type="paragraph" w:styleId="20">
    <w:name w:val="header"/>
    <w:basedOn w:val="0"/>
    <w:pPr>
      <w:pBdr>
        <w:bottom w:val="single" w:sz="6" w:space="1" w:color="auto"/>
      </w:pBdr>
      <w:tabs>
        <w:tab w:val="center" w:pos="4153"/>
        <w:tab w:val="right" w:pos="8307"/>
      </w:tabs>
      <w:snapToGrid w:val="0"/>
      <w:jc w:val="center"/>
    </w:pPr>
    <w:rPr>
      <w:sz w:val="18"/>
    </w:rPr>
  </w:style>
  <w:style w:type="paragraph" w:styleId="21">
    <w:name w:val="footer"/>
    <w:basedOn w:val="0"/>
    <w:pPr>
      <w:tabs>
        <w:tab w:val="center" w:pos="4153"/>
        <w:tab w:val="right" w:pos="8307"/>
      </w:tabs>
      <w:snapToGrid w:val="0"/>
      <w:jc w:val="left"/>
    </w:pPr>
    <w:rPr>
      <w:sz w:val="18"/>
    </w:rPr>
  </w:style>
  <w:style w:type="character" w:styleId="22">
    <w:name w:val="footnote reference"/>
    <w:rPr>
      <w:vertAlign w:val="superscript"/>
    </w:rPr>
  </w:style>
  <w:style w:type="character" w:styleId="23">
    <w:name w:val="Hyperlink"/>
    <w:rPr>
      <w:color w:val="0000FF"/>
      <w:u w:val="single"/>
    </w:rPr>
  </w:style>
  <w:style w:type="paragraph" w:customStyle="1" w:styleId="24">
    <w:name w:val="样式 30 10 磅"/>
    <w:next w:val="16"/>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25">
    <w:name w:val="样式 16 10 磅"/>
    <w:next w:val="18"/>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26">
    <w:name w:val="样式 10 磅"/>
    <w:next w:val="17"/>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27">
    <w:name w:val="样式 31 10 磅"/>
    <w:next w:val="15"/>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28">
    <w:name w:val="样式 29 10 磅"/>
    <w:next w:val="16"/>
    <w:pPr>
      <w:widowControl w:val="0"/>
      <w:ind w:firstLineChars="200" w:firstLine="200"/>
      <w:jc w:val="both"/>
    </w:pPr>
    <w:rPr>
      <w:rFonts w:ascii="Calibri" w:eastAsia="宋体" w:cs="Calibri" w:hAnsi="Calibri"/>
      <w:kern w:val="2"/>
      <w:sz w:val="21"/>
      <w:szCs w:val="21"/>
      <w:lang w:val="en-US" w:eastAsia="zh-CN" w:bidi="ar-SA"/>
    </w:rPr>
  </w:style>
  <w:style w:type="paragraph" w:styleId="29">
    <w:name w:val="Balloon Text"/>
    <w:basedOn w:val="0"/>
    <w:rPr>
      <w:sz w:val="18"/>
      <w:szCs w:val="18"/>
    </w:rPr>
  </w:style>
  <w:style w:type="paragraph" w:customStyle="1" w:styleId="30">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1">
    <w:name w:val="段"/>
    <w:pPr>
      <w:tabs>
        <w:tab w:val="center" w:pos="4201"/>
        <w:tab w:val="right" w:leader="dot" w:pos="9298"/>
      </w:tabs>
      <w:autoSpaceDE w:val="0"/>
      <w:autoSpaceDN w:val="0"/>
      <w:ind w:firstLineChars="200" w:firstLine="200"/>
      <w:jc w:val="both"/>
    </w:pPr>
    <w:rPr>
      <w:rFonts w:ascii="宋体" w:eastAsia="宋体" w:cs="Times New Roman"/>
      <w:sz w:val="21"/>
      <w:szCs w:val="20"/>
      <w:lang w:val="en-US" w:eastAsia="zh-CN" w:bidi="ar-SA"/>
    </w:rPr>
  </w:style>
  <w:style w:type="paragraph" w:customStyle="1" w:styleId="32">
    <w:name w:val="数字编号列项（二级）"/>
    <w:pPr>
      <w:numPr>
        <w:ilvl w:val="1"/>
        <w:numId w:val="1"/>
      </w:numPr>
      <w:tabs>
        <w:tab w:val="left" w:pos="839"/>
      </w:tabs>
      <w:jc w:val="both"/>
    </w:pPr>
    <w:rPr>
      <w:rFonts w:ascii="宋体" w:eastAsia="宋体" w:cs="Times New Roman"/>
      <w:sz w:val="21"/>
      <w:szCs w:val="20"/>
      <w:lang w:val="en-US" w:eastAsia="zh-CN" w:bidi="ar-SA"/>
    </w:rPr>
  </w:style>
  <w:style w:type="paragraph" w:customStyle="1" w:styleId="33">
    <w:name w:val="字母编号列项（一级）"/>
    <w:pPr>
      <w:numPr>
        <w:ilvl w:val="0"/>
        <w:numId w:val="1"/>
      </w:numPr>
      <w:jc w:val="both"/>
    </w:pPr>
    <w:rPr>
      <w:rFonts w:ascii="宋体" w:eastAsia="宋体" w:cs="Times New Roman"/>
      <w:sz w:val="21"/>
      <w:szCs w:val="20"/>
      <w:lang w:val="en-US" w:eastAsia="zh-CN" w:bidi="ar-SA"/>
    </w:rPr>
  </w:style>
  <w:style w:type="paragraph" w:customStyle="1" w:styleId="34">
    <w:name w:val="编号列项（三级）"/>
    <w:pPr>
      <w:numPr>
        <w:ilvl w:val="2"/>
        <w:numId w:val="1"/>
      </w:numPr>
      <w:tabs>
        <w:tab w:val="left" w:pos="839"/>
      </w:tabs>
    </w:pPr>
    <w:rPr>
      <w:rFonts w:ascii="宋体" w:eastAsia="宋体" w:cs="Times New Roman"/>
      <w:sz w:val="21"/>
      <w:szCs w:val="20"/>
      <w:lang w:val="en-US" w:eastAsia="zh-CN" w:bidi="ar-SA"/>
    </w:rPr>
  </w:style>
  <w:style w:type="character" w:customStyle="1" w:styleId="35">
    <w:name w:val="im-content1"/>
    <w:rPr>
      <w:vanish w:val="0"/>
      <w:color w:val="000000"/>
    </w:rPr>
  </w:style>
  <w:style w:type="character" w:styleId="36">
    <w:name w:val="annotation reference"/>
    <w:rPr>
      <w:sz w:val="21"/>
      <w:szCs w:val="21"/>
    </w:rPr>
  </w:style>
  <w:style w:type="paragraph" w:styleId="37">
    <w:name w:val="annotation text"/>
    <w:basedOn w:val="0"/>
    <w:pPr>
      <w:jc w:val="left"/>
    </w:pPr>
  </w:style>
  <w:style w:type="paragraph" w:styleId="38">
    <w:name w:val="annotation subject"/>
    <w:basedOn w:val="37"/>
    <w:next w:val="37"/>
    <w:rPr>
      <w:b/>
      <w:bCs/>
    </w:rPr>
  </w:style>
  <w:style w:type="character" w:styleId="39">
    <w:name w:val="FollowedHyperlink"/>
    <w:basedOn w:val="10"/>
    <w:rPr>
      <w:color w:val="954F72"/>
      <w:u w:val="single"/>
    </w:rPr>
  </w:style>
  <w:style w:type="character" w:customStyle="1" w:styleId="40">
    <w:name w:val="Unresolved Mention"/>
    <w:basedOn w:val="10"/>
    <w:rPr>
      <w:color w:val="605E5C"/>
      <w:shd w:val="clear" w:color="auto" w:fill="E1DFDD"/>
    </w:rPr>
  </w:style>
  <w:style w:type="paragraph" w:customStyle="1" w:styleId="135">
    <w:name w:val="样式 1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image" Target="media/2.jpeg"/><Relationship Id="rId6" Type="http://schemas.openxmlformats.org/officeDocument/2006/relationships/image" Target="media/5.jpeg"/><Relationship Id="rId7" Type="http://schemas.openxmlformats.org/officeDocument/2006/relationships/image" Target="media/8.jpeg"/><Relationship Id="rId8" Type="http://schemas.openxmlformats.org/officeDocument/2006/relationships/image" Target="media/11.png"/><Relationship Id="rId9" Type="http://schemas.openxmlformats.org/officeDocument/2006/relationships/image" Target="media/14.png"/><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135</TotalTime>
  <Application>Yozo_Office</Application>
  <Pages>9</Pages>
  <Words>1501</Words>
  <Characters>1548</Characters>
  <Lines>113</Lines>
  <Paragraphs>55</Paragraphs>
  <CharactersWithSpaces>1570</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苗鑫</cp:lastModifiedBy>
  <cp:revision>11</cp:revision>
  <dcterms:created xsi:type="dcterms:W3CDTF">2021-09-15T07:27:00Z</dcterms:created>
  <dcterms:modified xsi:type="dcterms:W3CDTF">2026-03-12T01:35:02Z</dcterms:modified>
</cp:coreProperties>
</file>