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tabs>
          <w:tab w:val="left" w:pos="105"/>
        </w:tabs>
        <w:autoSpaceDN w:val="0"/>
        <w:spacing w:line="560" w:lineRule="exact"/>
        <w:ind w:left="0" w:firstLine="105"/>
        <w:jc w:val="center"/>
        <w:rPr>
          <w:rFonts w:ascii="方正小标宋_GBK" w:eastAsia="方正小标宋_GBK" w:cs="方正小标宋_GBK" w:hint="eastAsia"/>
          <w:spacing w:val="-6"/>
          <w:sz w:val="44"/>
          <w:szCs w:val="44"/>
        </w:rPr>
      </w:pPr>
      <w:bookmarkStart w:id="0" w:name="_GoBack"/>
      <w:bookmarkEnd w:id="0"/>
      <w:r>
        <w:rPr>
          <w:rFonts w:ascii="方正小标宋_GBK" w:eastAsia="方正小标宋_GBK" w:cs="方正小标宋_GBK" w:hint="eastAsia"/>
          <w:vanish w:val="0"/>
          <w:sz w:val="44"/>
          <w:szCs w:val="44"/>
        </w:rPr>
        <w:t>天津海关关于发布申请加入2026年度涉案财物公开拍卖企业名单库相关事宜的通知</w:t>
      </w:r>
    </w:p>
    <w:p>
      <w:pPr>
        <w:autoSpaceDN w:val="0"/>
        <w:spacing w:line="560" w:lineRule="exact"/>
        <w:ind w:firstLineChars="200" w:firstLine="616"/>
        <w:rPr>
          <w:rFonts w:ascii="Times New Roman" w:eastAsia="方正仿宋_GBK" w:cs="方正仿宋_GBK" w:hAnsi="Times New Roman"/>
          <w:spacing w:val="-6"/>
          <w:sz w:val="32"/>
          <w:szCs w:val="32"/>
        </w:rPr>
      </w:pP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为规范天津海关涉案财物拍卖行为，维护拍卖秩序，保护涉案财物拍卖活动中各方当事人的合法权益，根据《中华人民共和国海关法》《中华人民共和国拍卖法》《公平竞争审查条例》（国务院令第</w:t>
      </w:r>
      <w:r>
        <w:rPr>
          <w:rFonts w:ascii="Times New Roman" w:eastAsia="方正仿宋_GBK" w:cs="方正仿宋_GBK" w:hAnsi="Times New Roman"/>
          <w:spacing w:val="-6"/>
          <w:sz w:val="32"/>
          <w:szCs w:val="32"/>
        </w:rPr>
        <w:t>783</w:t>
      </w:r>
      <w:r>
        <w:rPr>
          <w:rFonts w:ascii="Times New Roman" w:eastAsia="方正仿宋_GBK" w:cs="方正仿宋_GBK" w:hAnsi="Times New Roman" w:hint="eastAsia"/>
          <w:spacing w:val="-6"/>
          <w:sz w:val="32"/>
          <w:szCs w:val="32"/>
        </w:rPr>
        <w:t>号）、</w:t>
      </w:r>
      <w:r>
        <w:rPr>
          <w:rFonts w:ascii="Times New Roman" w:eastAsia="方正仿宋_GBK" w:cs="Times New Roman" w:hAnsi="Times New Roman" w:hint="eastAsia"/>
          <w:spacing w:val="-6"/>
          <w:sz w:val="32"/>
          <w:szCs w:val="32"/>
        </w:rPr>
        <w:t>《海关涉案财物拍卖若干问题的规定》（海关总署公告</w:t>
      </w:r>
      <w:r>
        <w:rPr>
          <w:rFonts w:ascii="Times New Roman" w:eastAsia="方正仿宋_GBK" w:hAnsi="Times New Roman"/>
          <w:spacing w:val="-6"/>
          <w:sz w:val="32"/>
          <w:szCs w:val="32"/>
        </w:rPr>
        <w:t>2020</w:t>
      </w:r>
      <w:r>
        <w:rPr>
          <w:rFonts w:ascii="Times New Roman" w:eastAsia="方正仿宋_GBK" w:cs="Times New Roman" w:hAnsi="Times New Roman" w:hint="eastAsia"/>
          <w:spacing w:val="-6"/>
          <w:sz w:val="32"/>
          <w:szCs w:val="32"/>
        </w:rPr>
        <w:t>年第</w:t>
      </w:r>
      <w:r>
        <w:rPr>
          <w:rFonts w:ascii="Times New Roman" w:eastAsia="方正仿宋_GBK" w:hAnsi="Times New Roman"/>
          <w:spacing w:val="-6"/>
          <w:sz w:val="32"/>
          <w:szCs w:val="32"/>
        </w:rPr>
        <w:t>38</w:t>
      </w:r>
      <w:r>
        <w:rPr>
          <w:rFonts w:ascii="Times New Roman" w:eastAsia="方正仿宋_GBK" w:cs="Times New Roman" w:hAnsi="Times New Roman" w:hint="eastAsia"/>
          <w:spacing w:val="-6"/>
          <w:sz w:val="32"/>
          <w:szCs w:val="32"/>
        </w:rPr>
        <w:t>号）</w:t>
      </w:r>
      <w:r>
        <w:rPr>
          <w:rFonts w:ascii="Times New Roman" w:eastAsia="方正仿宋_GBK" w:cs="方正仿宋_GBK" w:hAnsi="Times New Roman" w:hint="eastAsia"/>
          <w:spacing w:val="-6"/>
          <w:sz w:val="32"/>
          <w:szCs w:val="32"/>
        </w:rPr>
        <w:t>、《天津海关关于发布涉案财物公开拍卖企业名单库入围规则等相关事宜的公告》等相关规定，现将申请加入</w:t>
      </w:r>
      <w:r>
        <w:rPr>
          <w:rFonts w:ascii="Times New Roman" w:eastAsia="方正仿宋_GBK" w:cs="方正仿宋_GBK" w:hAnsi="Times New Roman"/>
          <w:spacing w:val="-6"/>
          <w:sz w:val="32"/>
          <w:szCs w:val="32"/>
        </w:rPr>
        <w:t>202</w:t>
      </w:r>
      <w:r>
        <w:rPr>
          <w:rFonts w:ascii="Times New Roman" w:eastAsia="方正仿宋_GBK" w:cs="方正仿宋_GBK" w:hAnsi="Times New Roman" w:hint="eastAsia"/>
          <w:spacing w:val="-6"/>
          <w:sz w:val="32"/>
          <w:szCs w:val="32"/>
        </w:rPr>
        <w:t>6年度天津海关涉案财物公开拍卖企业名单库有关事项通知如下：</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黑体_GBK" w:cs="方正黑体_GBK" w:hAnsi="Times New Roman" w:hint="eastAsia"/>
          <w:spacing w:val="-6"/>
          <w:sz w:val="32"/>
          <w:szCs w:val="32"/>
        </w:rPr>
        <w:t>一、申请材料</w:t>
      </w:r>
      <w:r>
        <w:rPr>
          <w:rFonts w:ascii="Times New Roman" w:eastAsia="方正仿宋_GBK" w:cs="方正仿宋_GBK" w:hAnsi="Times New Roman" w:hint="eastAsia"/>
          <w:spacing w:val="-6"/>
          <w:sz w:val="32"/>
          <w:szCs w:val="32"/>
        </w:rPr>
        <w:t>（</w:t>
      </w:r>
      <w:r>
        <w:rPr>
          <w:rFonts w:ascii="Times New Roman" w:eastAsia="方正仿宋_GBK" w:cs="方正仿宋_GBK" w:hAnsi="Times New Roman"/>
          <w:spacing w:val="-6"/>
          <w:sz w:val="32"/>
          <w:szCs w:val="32"/>
        </w:rPr>
        <w:t>均</w:t>
      </w:r>
      <w:r>
        <w:rPr>
          <w:rFonts w:ascii="Times New Roman" w:eastAsia="方正仿宋_GBK" w:cs="方正仿宋_GBK" w:hAnsi="Times New Roman" w:hint="eastAsia"/>
          <w:spacing w:val="-6"/>
          <w:sz w:val="32"/>
          <w:szCs w:val="32"/>
        </w:rPr>
        <w:t>需加盖公章）</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（一）企业营业执照（复印件）；</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（二）企业拍卖经营批准证书（复印件）；</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（三）中拍协认定为</w:t>
      </w:r>
      <w:r>
        <w:rPr>
          <w:rFonts w:ascii="Times New Roman" w:eastAsia="方正仿宋_GBK" w:cs="方正仿宋_GBK" w:hAnsi="Times New Roman"/>
          <w:spacing w:val="-6"/>
          <w:sz w:val="32"/>
          <w:szCs w:val="32"/>
        </w:rPr>
        <w:t>A</w:t>
      </w:r>
      <w:r>
        <w:rPr>
          <w:rFonts w:ascii="Times New Roman" w:eastAsia="方正仿宋_GBK" w:cs="方正仿宋_GBK" w:hAnsi="Times New Roman" w:hint="eastAsia"/>
          <w:spacing w:val="-6"/>
          <w:sz w:val="32"/>
          <w:szCs w:val="32"/>
        </w:rPr>
        <w:t>级及以上的拍卖企业等级证书复印件或其他证明材料；</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（四）企业未被列入经营异常名录，未被列入严重失信企业名单，未被公安机关立案调查，近</w:t>
      </w:r>
      <w:r>
        <w:rPr>
          <w:rFonts w:ascii="Times New Roman" w:eastAsia="方正仿宋_GBK" w:cs="方正仿宋_GBK" w:hAnsi="Times New Roman"/>
          <w:spacing w:val="-6"/>
          <w:sz w:val="32"/>
          <w:szCs w:val="32"/>
        </w:rPr>
        <w:t>3</w:t>
      </w:r>
      <w:r>
        <w:rPr>
          <w:rFonts w:ascii="Times New Roman" w:eastAsia="方正仿宋_GBK" w:cs="方正仿宋_GBK" w:hAnsi="Times New Roman" w:hint="eastAsia"/>
          <w:spacing w:val="-6"/>
          <w:sz w:val="32"/>
          <w:szCs w:val="32"/>
        </w:rPr>
        <w:t>年无严重违法违规行为和记录等证明材料（可在“信用中国”或“国家企业信用信息公示系统”网站进行查询，可提供企业承诺书等）；</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（五）</w:t>
      </w:r>
      <w:r>
        <w:rPr>
          <w:rFonts w:ascii="Times New Roman" w:eastAsia="方正仿宋_GBK" w:cs="方正仿宋_GBK" w:hAnsi="Times New Roman"/>
          <w:spacing w:val="-6"/>
          <w:sz w:val="32"/>
          <w:szCs w:val="32"/>
        </w:rPr>
        <w:t>202</w:t>
      </w:r>
      <w:r>
        <w:rPr>
          <w:rFonts w:ascii="Times New Roman" w:eastAsia="方正仿宋_GBK" w:cs="方正仿宋_GBK" w:hAnsi="Times New Roman" w:hint="eastAsia"/>
          <w:spacing w:val="-6"/>
          <w:sz w:val="32"/>
          <w:szCs w:val="32"/>
        </w:rPr>
        <w:t>6年度天津海关涉案财物公开拍卖企业申请表（见附件）。</w:t>
      </w:r>
    </w:p>
    <w:p>
      <w:pPr>
        <w:autoSpaceDN w:val="0"/>
        <w:spacing w:line="560" w:lineRule="exact"/>
        <w:ind w:firstLineChars="200" w:firstLine="616"/>
        <w:rPr>
          <w:rFonts w:ascii="Times New Roman" w:eastAsia="方正黑体_GBK" w:cs="方正黑体_GBK" w:hAnsi="Times New Roman"/>
          <w:spacing w:val="-6"/>
          <w:sz w:val="32"/>
          <w:szCs w:val="32"/>
        </w:rPr>
      </w:pPr>
      <w:r>
        <w:rPr>
          <w:rFonts w:ascii="Times New Roman" w:eastAsia="方正黑体_GBK" w:cs="方正黑体_GBK" w:hAnsi="Times New Roman" w:hint="eastAsia"/>
          <w:spacing w:val="-6"/>
          <w:sz w:val="32"/>
          <w:szCs w:val="32"/>
        </w:rPr>
        <w:t>二、报名时间</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自</w:t>
      </w:r>
      <w:r>
        <w:rPr>
          <w:rFonts w:ascii="Times New Roman" w:eastAsia="方正仿宋_GBK" w:cs="方正仿宋_GBK" w:hAnsi="Times New Roman"/>
          <w:spacing w:val="-6"/>
          <w:sz w:val="32"/>
          <w:szCs w:val="32"/>
        </w:rPr>
        <w:t>2026</w:t>
      </w:r>
      <w:r>
        <w:rPr>
          <w:rFonts w:ascii="Times New Roman" w:eastAsia="方正仿宋_GBK" w:cs="方正仿宋_GBK" w:hAnsi="Times New Roman" w:hint="eastAsia"/>
          <w:spacing w:val="-6"/>
          <w:sz w:val="32"/>
          <w:szCs w:val="32"/>
        </w:rPr>
        <w:t>年3月</w:t>
      </w:r>
      <w:r>
        <w:rPr>
          <w:rFonts w:ascii="Times New Roman" w:eastAsia="方正仿宋_GBK" w:cs="方正仿宋_GBK" w:hAnsi="Times New Roman"/>
          <w:spacing w:val="-6"/>
          <w:sz w:val="32"/>
          <w:szCs w:val="32"/>
        </w:rPr>
        <w:t>19</w:t>
      </w:r>
      <w:r>
        <w:rPr>
          <w:rFonts w:ascii="Times New Roman" w:eastAsia="方正仿宋_GBK" w:cs="方正仿宋_GBK" w:hAnsi="Times New Roman" w:hint="eastAsia"/>
          <w:spacing w:val="-6"/>
          <w:sz w:val="32"/>
          <w:szCs w:val="32"/>
        </w:rPr>
        <w:t>日</w:t>
      </w:r>
      <w:r>
        <w:rPr>
          <w:rFonts w:ascii="Times New Roman" w:eastAsia="方正仿宋_GBK" w:cs="方正仿宋_GBK" w:hAnsi="Times New Roman"/>
          <w:spacing w:val="-6"/>
          <w:sz w:val="32"/>
          <w:szCs w:val="32"/>
        </w:rPr>
        <w:t>-2026</w:t>
      </w:r>
      <w:r>
        <w:rPr>
          <w:rFonts w:ascii="Times New Roman" w:eastAsia="方正仿宋_GBK" w:cs="方正仿宋_GBK" w:hAnsi="Times New Roman" w:hint="eastAsia"/>
          <w:spacing w:val="-6"/>
          <w:sz w:val="32"/>
          <w:szCs w:val="32"/>
        </w:rPr>
        <w:t>年3月</w:t>
      </w:r>
      <w:r>
        <w:rPr>
          <w:rFonts w:ascii="Times New Roman" w:eastAsia="方正仿宋_GBK" w:cs="方正仿宋_GBK" w:hAnsi="Times New Roman"/>
          <w:spacing w:val="-6"/>
          <w:sz w:val="32"/>
          <w:szCs w:val="32"/>
        </w:rPr>
        <w:t>30</w:t>
      </w:r>
      <w:r>
        <w:rPr>
          <w:rFonts w:ascii="Times New Roman" w:eastAsia="方正仿宋_GBK" w:cs="方正仿宋_GBK" w:hAnsi="Times New Roman" w:hint="eastAsia"/>
          <w:spacing w:val="-6"/>
          <w:sz w:val="32"/>
          <w:szCs w:val="32"/>
        </w:rPr>
        <w:t>日，逾期不予受理。</w:t>
      </w:r>
    </w:p>
    <w:p>
      <w:pPr>
        <w:autoSpaceDN w:val="0"/>
        <w:spacing w:line="560" w:lineRule="exact"/>
        <w:ind w:firstLineChars="200" w:firstLine="616"/>
        <w:rPr>
          <w:rFonts w:ascii="Times New Roman" w:eastAsia="方正黑体_GBK" w:cs="方正黑体_GBK" w:hAnsi="Times New Roman"/>
          <w:spacing w:val="-6"/>
          <w:sz w:val="32"/>
          <w:szCs w:val="32"/>
        </w:rPr>
      </w:pPr>
      <w:r>
        <w:rPr>
          <w:rFonts w:ascii="Times New Roman" w:eastAsia="方正黑体_GBK" w:cs="方正黑体_GBK" w:hAnsi="Times New Roman" w:hint="eastAsia"/>
          <w:spacing w:val="-6"/>
          <w:sz w:val="32"/>
          <w:szCs w:val="32"/>
        </w:rPr>
        <w:t>三、报名地点</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天津海关浦口道办公区（天津市河西区浦口道</w:t>
      </w:r>
      <w:r>
        <w:rPr>
          <w:rFonts w:ascii="Times New Roman" w:eastAsia="方正仿宋_GBK" w:cs="方正仿宋_GBK" w:hAnsi="Times New Roman"/>
          <w:spacing w:val="-6"/>
          <w:sz w:val="32"/>
          <w:szCs w:val="32"/>
        </w:rPr>
        <w:t>6</w:t>
      </w:r>
      <w:r>
        <w:rPr>
          <w:rFonts w:ascii="Times New Roman" w:eastAsia="方正仿宋_GBK" w:cs="方正仿宋_GBK" w:hAnsi="Times New Roman" w:hint="eastAsia"/>
          <w:spacing w:val="-6"/>
          <w:sz w:val="32"/>
          <w:szCs w:val="32"/>
        </w:rPr>
        <w:t>号）。</w:t>
      </w:r>
    </w:p>
    <w:p>
      <w:pPr>
        <w:autoSpaceDN w:val="0"/>
        <w:spacing w:line="560" w:lineRule="exact"/>
        <w:ind w:firstLineChars="200" w:firstLine="616"/>
        <w:rPr>
          <w:rFonts w:ascii="Times New Roman" w:eastAsia="方正黑体_GBK" w:cs="方正黑体_GBK" w:hAnsi="Times New Roman"/>
          <w:spacing w:val="-6"/>
          <w:sz w:val="32"/>
          <w:szCs w:val="32"/>
        </w:rPr>
      </w:pPr>
      <w:r>
        <w:rPr>
          <w:rFonts w:ascii="Times New Roman" w:eastAsia="方正黑体_GBK" w:cs="方正黑体_GBK" w:hAnsi="Times New Roman" w:hint="eastAsia"/>
          <w:spacing w:val="-6"/>
          <w:sz w:val="32"/>
          <w:szCs w:val="32"/>
        </w:rPr>
        <w:t>四、其他事项</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（一）进入</w:t>
      </w:r>
      <w:r>
        <w:rPr>
          <w:rFonts w:ascii="Times New Roman" w:eastAsia="方正仿宋_GBK" w:cs="方正仿宋_GBK" w:hAnsi="Times New Roman"/>
          <w:spacing w:val="-6"/>
          <w:sz w:val="32"/>
          <w:szCs w:val="32"/>
        </w:rPr>
        <w:t>202</w:t>
      </w:r>
      <w:r>
        <w:rPr>
          <w:rFonts w:ascii="Times New Roman" w:eastAsia="方正仿宋_GBK" w:cs="方正仿宋_GBK" w:hAnsi="Times New Roman" w:hint="eastAsia"/>
          <w:spacing w:val="-6"/>
          <w:sz w:val="32"/>
          <w:szCs w:val="32"/>
        </w:rPr>
        <w:t>5</w:t>
      </w:r>
      <w:r>
        <w:rPr>
          <w:rFonts w:ascii="Times New Roman" w:eastAsia="方正仿宋_GBK" w:cs="方正仿宋_GBK" w:hAnsi="Times New Roman"/>
          <w:spacing w:val="-6"/>
          <w:sz w:val="32"/>
          <w:szCs w:val="32"/>
        </w:rPr>
        <w:t>年度</w:t>
      </w:r>
      <w:r>
        <w:rPr>
          <w:rFonts w:ascii="Times New Roman" w:eastAsia="方正仿宋_GBK" w:cs="方正仿宋_GBK" w:hAnsi="Times New Roman" w:hint="eastAsia"/>
          <w:spacing w:val="-6"/>
          <w:sz w:val="32"/>
          <w:szCs w:val="32"/>
        </w:rPr>
        <w:t>天津海关涉案财物公开拍卖企业名单库的企业，如有意愿参与</w:t>
      </w:r>
      <w:r>
        <w:rPr>
          <w:rFonts w:ascii="Times New Roman" w:eastAsia="方正仿宋_GBK" w:cs="方正仿宋_GBK" w:hAnsi="Times New Roman"/>
          <w:spacing w:val="-6"/>
          <w:sz w:val="32"/>
          <w:szCs w:val="32"/>
        </w:rPr>
        <w:t>202</w:t>
      </w:r>
      <w:r>
        <w:rPr>
          <w:rFonts w:ascii="Times New Roman" w:eastAsia="方正仿宋_GBK" w:cs="方正仿宋_GBK" w:hAnsi="Times New Roman" w:hint="eastAsia"/>
          <w:spacing w:val="-6"/>
          <w:sz w:val="32"/>
          <w:szCs w:val="32"/>
        </w:rPr>
        <w:t>6年度天津海关涉案财物公开拍卖业务，本次仍需申请报名。</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（二）申请企业须在报名截止日期前将纸质材料送至报名地点，或将电子扫描件发送至工作邮箱（邮箱地址：</w:t>
      </w:r>
      <w:r>
        <w:rPr>
          <w:rStyle w:val="15"/>
          <w:rFonts w:ascii="Times New Roman" w:eastAsia="方正仿宋_GBK" w:cs="方正仿宋_GBK" w:hAnsi="Times New Roman"/>
          <w:color w:val="auto"/>
          <w:spacing w:val="-6"/>
          <w:sz w:val="32"/>
          <w:szCs w:val="32"/>
          <w:u w:val="none"/>
        </w:rPr>
        <w:fldChar w:fldCharType="begin"/>
      </w:r>
      <w:r>
        <w:instrText>HYPERLINK "mailto:tjs_pmhyxh@126.com"</w:instrText>
      </w:r>
      <w:r>
        <w:rPr>
          <w:rStyle w:val="15"/>
          <w:rFonts w:ascii="Times New Roman" w:eastAsia="方正仿宋_GBK" w:cs="方正仿宋_GBK" w:hAnsi="Times New Roman"/>
          <w:color w:val="auto"/>
          <w:spacing w:val="-6"/>
          <w:sz w:val="32"/>
          <w:szCs w:val="32"/>
          <w:u w:val="none"/>
        </w:rPr>
        <w:fldChar w:fldCharType="separate"/>
      </w:r>
      <w:r>
        <w:rPr>
          <w:rStyle w:val="15"/>
          <w:rFonts w:ascii="Times New Roman" w:eastAsia="方正仿宋_GBK" w:cs="方正仿宋_GBK" w:hAnsi="Times New Roman"/>
          <w:color w:val="auto"/>
          <w:spacing w:val="-6"/>
          <w:sz w:val="32"/>
          <w:szCs w:val="32"/>
          <w:u w:val="none"/>
        </w:rPr>
        <w:t>tjhggwcz@163.com</w:t>
      </w:r>
      <w:r>
        <w:rPr>
          <w:rStyle w:val="15"/>
          <w:rFonts w:ascii="Times New Roman" w:eastAsia="方正仿宋_GBK" w:cs="方正仿宋_GBK" w:hAnsi="Times New Roman"/>
          <w:color w:val="auto"/>
          <w:spacing w:val="-6"/>
          <w:sz w:val="32"/>
          <w:szCs w:val="32"/>
          <w:u w:val="none"/>
        </w:rPr>
        <w:fldChar w:fldCharType="end"/>
      </w:r>
      <w:r>
        <w:rPr>
          <w:rFonts w:ascii="Times New Roman" w:eastAsia="方正仿宋_GBK" w:cs="方正仿宋_GBK" w:hAnsi="Times New Roman"/>
          <w:spacing w:val="-6"/>
          <w:sz w:val="32"/>
          <w:szCs w:val="32"/>
        </w:rPr>
        <w:t>)</w:t>
      </w:r>
      <w:r>
        <w:rPr>
          <w:rFonts w:ascii="Times New Roman" w:eastAsia="方正仿宋_GBK" w:cs="方正仿宋_GBK" w:hAnsi="Times New Roman" w:hint="eastAsia"/>
          <w:spacing w:val="-6"/>
          <w:sz w:val="32"/>
          <w:szCs w:val="32"/>
        </w:rPr>
        <w:t>，并对所报材料的合法性、真实性及有效性承担责任。</w:t>
      </w:r>
    </w:p>
    <w:p>
      <w:pPr>
        <w:autoSpaceDN w:val="0"/>
        <w:spacing w:line="560" w:lineRule="exact"/>
        <w:ind w:firstLineChars="200" w:firstLine="616"/>
        <w:rPr>
          <w:rFonts w:ascii="Times New Roman" w:eastAsia="方正黑体_GBK" w:cs="方正黑体_GBK" w:hAnsi="Times New Roman"/>
          <w:spacing w:val="-6"/>
          <w:sz w:val="32"/>
          <w:szCs w:val="32"/>
        </w:rPr>
      </w:pPr>
      <w:r>
        <w:rPr>
          <w:rFonts w:ascii="Times New Roman" w:eastAsia="方正黑体_GBK" w:cs="方正黑体_GBK" w:hAnsi="Times New Roman" w:hint="eastAsia"/>
          <w:spacing w:val="-6"/>
          <w:sz w:val="32"/>
          <w:szCs w:val="32"/>
        </w:rPr>
        <w:t>五、联系人及联系电话</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（一）联系人：王</w:t>
      </w:r>
      <w:r>
        <w:rPr>
          <w:rFonts w:ascii="Times New Roman" w:eastAsia="方正仿宋_GBK" w:cs="方正仿宋_GBK" w:hAnsi="Times New Roman"/>
          <w:spacing w:val="-6"/>
          <w:sz w:val="32"/>
          <w:szCs w:val="32"/>
        </w:rPr>
        <w:t>老师</w:t>
      </w:r>
      <w:r>
        <w:rPr>
          <w:rFonts w:ascii="Times New Roman" w:eastAsia="方正仿宋_GBK" w:cs="方正仿宋_GBK" w:hAnsi="Times New Roman" w:hint="eastAsia"/>
          <w:spacing w:val="-6"/>
          <w:sz w:val="32"/>
          <w:szCs w:val="32"/>
        </w:rPr>
        <w:t>，联系电话：</w:t>
      </w:r>
      <w:r>
        <w:rPr>
          <w:rFonts w:ascii="Times New Roman" w:eastAsia="方正仿宋_GBK" w:cs="方正仿宋_GBK" w:hAnsi="Times New Roman"/>
          <w:spacing w:val="-6"/>
          <w:sz w:val="32"/>
          <w:szCs w:val="32"/>
        </w:rPr>
        <w:t>022-8420</w:t>
      </w:r>
      <w:r>
        <w:rPr>
          <w:rFonts w:ascii="Times New Roman" w:eastAsia="方正仿宋_GBK" w:cs="方正仿宋_GBK" w:hAnsi="Times New Roman" w:hint="eastAsia"/>
          <w:spacing w:val="-6"/>
          <w:sz w:val="32"/>
          <w:szCs w:val="32"/>
        </w:rPr>
        <w:t>3565。</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（二）联系人：杨</w:t>
      </w:r>
      <w:r>
        <w:rPr>
          <w:rFonts w:ascii="Times New Roman" w:eastAsia="方正仿宋_GBK" w:cs="方正仿宋_GBK" w:hAnsi="Times New Roman"/>
          <w:spacing w:val="-6"/>
          <w:sz w:val="32"/>
          <w:szCs w:val="32"/>
        </w:rPr>
        <w:t>老师</w:t>
      </w:r>
      <w:r>
        <w:rPr>
          <w:rFonts w:ascii="Times New Roman" w:eastAsia="方正仿宋_GBK" w:cs="方正仿宋_GBK" w:hAnsi="Times New Roman" w:hint="eastAsia"/>
          <w:spacing w:val="-6"/>
          <w:sz w:val="32"/>
          <w:szCs w:val="32"/>
        </w:rPr>
        <w:t>，联系电话：</w:t>
      </w:r>
      <w:r>
        <w:rPr>
          <w:rFonts w:ascii="Times New Roman" w:eastAsia="方正仿宋_GBK" w:cs="方正仿宋_GBK" w:hAnsi="Times New Roman"/>
          <w:spacing w:val="-6"/>
          <w:sz w:val="32"/>
          <w:szCs w:val="32"/>
        </w:rPr>
        <w:t>022-84201323</w:t>
      </w:r>
      <w:r>
        <w:rPr>
          <w:rFonts w:ascii="Times New Roman" w:eastAsia="方正仿宋_GBK" w:cs="方正仿宋_GBK" w:hAnsi="Times New Roman" w:hint="eastAsia"/>
          <w:spacing w:val="-6"/>
          <w:sz w:val="32"/>
          <w:szCs w:val="32"/>
        </w:rPr>
        <w:t>。</w:t>
      </w:r>
    </w:p>
    <w:p>
      <w:pPr>
        <w:autoSpaceDN w:val="0"/>
        <w:spacing w:line="560" w:lineRule="exact"/>
        <w:ind w:firstLineChars="200" w:firstLine="616"/>
        <w:rPr>
          <w:rFonts w:ascii="Times New Roman" w:eastAsia="方正仿宋_GBK" w:cs="方正仿宋_GBK" w:hAnsi="Times New Roman"/>
          <w:spacing w:val="-6"/>
          <w:sz w:val="32"/>
          <w:szCs w:val="32"/>
        </w:rPr>
      </w:pPr>
      <w:r>
        <w:rPr>
          <w:rFonts w:ascii="Times New Roman" w:eastAsia="方正仿宋_GBK" w:cs="方正仿宋_GBK" w:hAnsi="Times New Roman" w:hint="eastAsia"/>
          <w:spacing w:val="-6"/>
          <w:sz w:val="32"/>
          <w:szCs w:val="32"/>
        </w:rPr>
        <w:t>特此</w:t>
      </w:r>
      <w:r>
        <w:rPr>
          <w:rFonts w:ascii="Times New Roman" w:eastAsia="方正仿宋_GBK" w:cs="方正仿宋_GBK" w:hAnsi="Times New Roman"/>
          <w:spacing w:val="-6"/>
          <w:sz w:val="32"/>
          <w:szCs w:val="32"/>
        </w:rPr>
        <w:t>通知</w:t>
      </w:r>
      <w:r>
        <w:rPr>
          <w:rFonts w:ascii="Times New Roman" w:eastAsia="方正仿宋_GBK" w:cs="方正仿宋_GBK" w:hAnsi="Times New Roman" w:hint="eastAsia"/>
          <w:spacing w:val="-6"/>
          <w:sz w:val="32"/>
          <w:szCs w:val="32"/>
        </w:rPr>
        <w:t>。</w:t>
      </w:r>
    </w:p>
    <w:p>
      <w:pPr>
        <w:autoSpaceDN w:val="0"/>
        <w:spacing w:line="560" w:lineRule="exact"/>
        <w:ind w:firstLineChars="200" w:firstLine="616"/>
        <w:rPr>
          <w:rFonts w:ascii="Times New Roman" w:eastAsia="方正仿宋_GBK" w:cs="方正仿宋_GBK" w:hAnsi="Times New Roman"/>
          <w:spacing w:val="-6"/>
          <w:sz w:val="32"/>
          <w:szCs w:val="32"/>
        </w:rPr>
      </w:pPr>
    </w:p>
    <w:p>
      <w:pPr>
        <w:spacing w:line="560" w:lineRule="exact"/>
        <w:ind w:firstLineChars="200" w:firstLine="420"/>
        <w:rPr>
          <w:rFonts w:ascii="Times New Roman" w:hAnsi="Times New Roman"/>
        </w:rPr>
      </w:pPr>
    </w:p>
    <w:p>
      <w:pPr>
        <w:spacing w:line="560" w:lineRule="exact"/>
        <w:ind w:firstLineChars="200" w:firstLine="420"/>
        <w:rPr>
          <w:rFonts w:ascii="Times New Roman" w:hAnsi="Times New Roman"/>
        </w:rPr>
      </w:pPr>
    </w:p>
    <w:p>
      <w:pPr>
        <w:spacing w:line="560" w:lineRule="exact"/>
        <w:ind w:firstLineChars="200" w:firstLine="420"/>
        <w:rPr>
          <w:rFonts w:ascii="Times New Roman" w:eastAsia="方正仿宋_GBK" w:cs="方正仿宋_GBK" w:hAnsi="Times New Roman" w:hint="eastAsia"/>
          <w:spacing w:val="-6"/>
          <w:sz w:val="32"/>
          <w:szCs w:val="32"/>
        </w:rPr>
      </w:pPr>
      <w:r>
        <w:rPr>
          <w:rFonts w:ascii="Times New Roman" w:hAnsi="Times New Roman"/>
        </w:rPr>
        <w:t xml:space="preserve">                                               </w:t>
      </w:r>
      <w:r>
        <w:rPr>
          <w:rFonts w:ascii="Times New Roman" w:eastAsia="方正仿宋_GBK" w:cs="方正仿宋_GBK" w:hAnsi="Times New Roman" w:hint="eastAsia"/>
          <w:spacing w:val="-6"/>
          <w:sz w:val="32"/>
          <w:szCs w:val="32"/>
        </w:rPr>
        <w:t>天津海关</w:t>
      </w:r>
    </w:p>
    <w:p>
      <w:pPr>
        <w:spacing w:line="560" w:lineRule="exact"/>
        <w:ind w:firstLineChars="200" w:firstLine="616"/>
        <w:rPr>
          <w:rFonts w:ascii="Times New Roman" w:eastAsia="方正仿宋_GBK" w:cs="方正仿宋_GBK" w:hAnsi="Times New Roman" w:hint="eastAsia"/>
          <w:spacing w:val="-6"/>
          <w:sz w:val="32"/>
          <w:szCs w:val="32"/>
        </w:rPr>
      </w:pPr>
      <w:r>
        <w:rPr>
          <w:rFonts w:ascii="Times New Roman" w:eastAsia="方正仿宋_GBK" w:cs="方正仿宋_GBK" w:hAnsi="Times New Roman" w:hint="eastAsia"/>
          <w:spacing w:val="-6"/>
          <w:sz w:val="32"/>
          <w:szCs w:val="32"/>
        </w:rPr>
        <w:t xml:space="preserve">                            2026年3月19日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黑体">
    <w:altName w:val="华文细黑"/>
    <w:panose1 w:val="02010609060101010101"/>
    <w:charset w:val="86"/>
    <w:family w:val="modern"/>
    <w:pitch w:val="variable"/>
    <w:sig w:usb0="00000001" w:usb1="080E0000" w:usb2="00000010" w:usb3="00000000" w:csb0="00040000" w:csb1="00000000"/>
  </w:font>
  <w:font w:name="Lucida Sans">
    <w:panose1 w:val="020B0602030504020204"/>
    <w:charset w:val="00"/>
    <w:family w:val="auto"/>
    <w:pitch w:val="variable"/>
    <w:sig w:usb0="00000003" w:usb1="00000000" w:usb2="00000000" w:usb3="00000000" w:csb0="2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8"/>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character" w:styleId="15">
    <w:name w:val="Hyperlink"/>
    <w:basedOn w:val="10"/>
    <w:rPr>
      <w:color w:val="0000FF"/>
      <w:u w:val="single"/>
    </w:rPr>
  </w:style>
  <w:style w:type="paragraph" w:customStyle="1" w:styleId="16">
    <w:name w:val="样式 10 磅"/>
    <w:pPr>
      <w:widowControl w:val="0"/>
      <w:jc w:val="both"/>
    </w:pPr>
    <w:rPr>
      <w:rFonts w:ascii="Calibri" w:eastAsia="宋体" w:cs="Arial" w:hAnsi="Calibri"/>
      <w:kern w:val="2"/>
      <w:sz w:val="21"/>
      <w:szCs w:val="22"/>
      <w:lang w:val="en-US" w:eastAsia="zh-CN" w:bidi="ar-SA"/>
    </w:rPr>
  </w:style>
  <w:style w:type="paragraph" w:customStyle="1" w:styleId="17">
    <w:name w:val="样式 小四"/>
    <w:pPr>
      <w:widowControl w:val="0"/>
    </w:pPr>
    <w:rPr>
      <w:rFonts w:ascii="宋体" w:eastAsia="宋体" w:cs="Times New Roman"/>
      <w:kern w:val="2"/>
      <w:sz w:val="24"/>
      <w:szCs w:val="21"/>
      <w:lang w:val="en-US" w:eastAsia="zh-CN" w:bidi="ar-SA"/>
    </w:rPr>
  </w:style>
  <w:style w:type="paragraph" w:customStyle="1" w:styleId="18">
    <w:name w:val="样式 1 小四"/>
    <w:pPr>
      <w:widowControl w:val="0"/>
      <w:spacing w:line="240" w:lineRule="auto"/>
      <w:jc w:val="left"/>
    </w:pPr>
    <w:rPr>
      <w:rFonts w:ascii="宋体" w:eastAsia="宋体" w:cs="Lucida Sans"/>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2</Pages>
  <Words>705</Words>
  <Characters>777</Characters>
  <Lines>43</Lines>
  <Paragraphs>21</Paragraphs>
  <CharactersWithSpaces>852</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3936</dc:creator>
  <cp:lastModifiedBy>苗鑫</cp:lastModifiedBy>
  <cp:revision>2</cp:revision>
  <dcterms:created xsi:type="dcterms:W3CDTF">2026-03-19T02:05:00Z</dcterms:created>
  <dcterms:modified xsi:type="dcterms:W3CDTF">2026-03-19T03:04:23Z</dcterms:modified>
</cp:coreProperties>
</file>