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0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天津大港海关2025年政府信息公开工作</w:t>
      </w:r>
    </w:p>
    <w:p>
      <w:pPr>
        <w:pStyle w:val="50"/>
        <w:spacing w:line="58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年度报告</w:t>
      </w:r>
      <w:bookmarkEnd w:id="0"/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ascii="方正仿宋_GBK" w:eastAsia="方正仿宋_GBK" w:cs="Arial"/>
          <w:sz w:val="32"/>
          <w:szCs w:val="32"/>
        </w:rPr>
      </w:pPr>
      <w:r>
        <w:rPr>
          <w:rFonts w:eastAsia="方正仿宋_GBK"/>
          <w:sz w:val="32"/>
          <w:szCs w:val="32"/>
        </w:rPr>
        <w:t>202</w:t>
      </w:r>
      <w:r>
        <w:rPr>
          <w:rFonts w:eastAsia="方正仿宋_GBK" w:hint="eastAsia"/>
          <w:sz w:val="32"/>
          <w:szCs w:val="32"/>
        </w:rPr>
        <w:t>5</w:t>
      </w:r>
      <w:r>
        <w:rPr>
          <w:rFonts w:ascii="方正仿宋_GBK" w:eastAsia="方正仿宋_GBK" w:cs="Arial" w:hint="eastAsia"/>
          <w:sz w:val="32"/>
          <w:szCs w:val="32"/>
        </w:rPr>
        <w:t>年天津大港海关坚持以习近平新时代中国特色社会主义思想为</w:t>
      </w:r>
      <w:r>
        <w:rPr>
          <w:rFonts w:ascii="方正仿宋_GBK" w:eastAsia="方正仿宋_GBK" w:cs="Arial" w:hint="eastAsia"/>
          <w:sz w:val="32"/>
          <w:szCs w:val="32"/>
          <w:lang w:eastAsia="zh-CN"/>
        </w:rPr>
        <w:t>指导</w:t>
      </w:r>
      <w:r>
        <w:rPr>
          <w:rFonts w:ascii="方正仿宋_GBK" w:eastAsia="方正仿宋_GBK" w:cs="Arial" w:hint="eastAsia"/>
          <w:sz w:val="32"/>
          <w:szCs w:val="32"/>
        </w:rPr>
        <w:t>，深入贯彻落实</w:t>
      </w:r>
      <w:r>
        <w:rPr>
          <w:rFonts w:ascii="方正仿宋_GBK" w:eastAsia="方正仿宋_GBK" w:hint="eastAsia"/>
          <w:sz w:val="32"/>
          <w:szCs w:val="32"/>
        </w:rPr>
        <w:t>《中华人民共和国政府信息公开条例》和《天津海关政府信息公开工作规程》</w:t>
      </w:r>
      <w:r>
        <w:rPr>
          <w:rFonts w:ascii="方正仿宋_GBK" w:eastAsia="方正仿宋_GBK" w:cs="Arial" w:hint="eastAsia"/>
          <w:sz w:val="32"/>
          <w:szCs w:val="32"/>
        </w:rPr>
        <w:t>，全面落实海关领域基层政务公开标准指引“达标创优”工作方案，在总关办公室的指导下，以“港政通”品牌</w:t>
      </w:r>
      <w:r>
        <w:rPr>
          <w:rFonts w:ascii="方正仿宋_GBK" w:eastAsia="方正仿宋_GBK" w:cs="Arial" w:hint="eastAsia"/>
          <w:sz w:val="32"/>
          <w:szCs w:val="32"/>
          <w:lang w:eastAsia="zh-CN"/>
        </w:rPr>
        <w:t>建设</w:t>
      </w:r>
      <w:r>
        <w:rPr>
          <w:rFonts w:ascii="方正仿宋_GBK" w:eastAsia="方正仿宋_GBK" w:cs="Arial" w:hint="eastAsia"/>
          <w:sz w:val="32"/>
          <w:szCs w:val="32"/>
        </w:rPr>
        <w:t>为核心抓手，围绕辖区重点产业，不断强化依法公开意识，创新工作形式，提升政务公开工作质效。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楷体_GBK" w:eastAsia="方正楷体_GBK" w:cs="Arial"/>
          <w:b/>
          <w:sz w:val="32"/>
          <w:szCs w:val="32"/>
        </w:rPr>
      </w:pPr>
      <w:r>
        <w:rPr>
          <w:rFonts w:ascii="方正楷体_GBK" w:eastAsia="方正楷体_GBK" w:cs="Arial" w:hint="eastAsia"/>
          <w:b/>
          <w:sz w:val="32"/>
          <w:szCs w:val="32"/>
        </w:rPr>
        <w:t>（一）加强制度建设，提升专业化水平。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ascii="方正仿宋_GBK" w:eastAsia="方正仿宋_GBK" w:cs="Arial"/>
          <w:sz w:val="32"/>
          <w:szCs w:val="32"/>
        </w:rPr>
      </w:pPr>
      <w:r>
        <w:rPr>
          <w:rFonts w:ascii="方正仿宋_GBK" w:eastAsia="方正仿宋_GBK" w:cs="Arial" w:hint="eastAsia"/>
          <w:sz w:val="32"/>
          <w:szCs w:val="32"/>
        </w:rPr>
        <w:t>持续优化工作机制，各科室专人负责推进政务公开日常工作，严格履行审批流程，规范政府信息获取、保存、处理相关流程，做到条条审批、条条留痕，加强“全周期管理”，确保对外发布信息的合法性合规性。保持政务公开电话通讯、电子邮件接收、邮寄渠道畅通，安排专岗接听政务公开电话、每日查阅政务公开邮箱、信箱，及时接收政府信息公开申请，确保不漏件、不延误。定期组织业务学习，开展交流研讨，打造业务精通、专业性强的政务公开人才队伍，持续提升政务公开工作标准化规范化水平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ascii="方正楷体_GBK" w:eastAsia="方正楷体_GBK" w:cs="Arial"/>
          <w:b/>
          <w:sz w:val="32"/>
          <w:szCs w:val="32"/>
        </w:rPr>
      </w:pPr>
      <w:r>
        <w:rPr>
          <w:rFonts w:ascii="方正楷体_GBK" w:eastAsia="方正楷体_GBK" w:cs="Arial" w:hint="eastAsia"/>
          <w:b/>
          <w:sz w:val="32"/>
          <w:szCs w:val="32"/>
        </w:rPr>
        <w:t>（二）拓展公开渠道，丰富政策解读形式。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480"/>
        <w:rPr>
          <w:rFonts w:ascii="方正仿宋_GBK" w:eastAsia="方正仿宋_GBK" w:cs="Arial"/>
          <w:sz w:val="32"/>
          <w:szCs w:val="32"/>
        </w:rPr>
      </w:pPr>
      <w:r>
        <w:rPr>
          <w:rFonts w:hint="eastAsia"/>
        </w:rPr>
        <w:t xml:space="preserve">    </w:t>
      </w:r>
      <w:r>
        <w:rPr>
          <w:rFonts w:ascii="方正仿宋_GBK" w:eastAsia="方正仿宋_GBK" w:cs="Arial" w:hint="eastAsia"/>
          <w:sz w:val="32"/>
          <w:szCs w:val="32"/>
        </w:rPr>
        <w:t>聚焦“</w:t>
      </w:r>
      <w:r>
        <w:rPr>
          <w:rFonts w:eastAsia="方正仿宋_GBK" w:hint="eastAsia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·</w:t>
      </w:r>
      <w:r>
        <w:rPr>
          <w:rFonts w:eastAsia="方正仿宋_GBK" w:hint="eastAsia"/>
          <w:sz w:val="32"/>
          <w:szCs w:val="32"/>
        </w:rPr>
        <w:t>26</w:t>
      </w:r>
      <w:r>
        <w:rPr>
          <w:rFonts w:ascii="方正仿宋_GBK" w:eastAsia="方正仿宋_GBK" w:cs="Arial" w:hint="eastAsia"/>
          <w:sz w:val="32"/>
          <w:szCs w:val="32"/>
        </w:rPr>
        <w:t>”国际海关日、“</w:t>
      </w:r>
      <w:r>
        <w:rPr>
          <w:rFonts w:eastAsia="方正仿宋_GBK"/>
          <w:sz w:val="32"/>
          <w:szCs w:val="32"/>
        </w:rPr>
        <w:t>8·8</w:t>
      </w:r>
      <w:r>
        <w:rPr>
          <w:rFonts w:ascii="方正仿宋_GBK" w:eastAsia="方正仿宋_GBK" w:cs="Arial" w:hint="eastAsia"/>
          <w:sz w:val="32"/>
          <w:szCs w:val="32"/>
        </w:rPr>
        <w:t>”海关法治宣传日、“</w:t>
      </w:r>
      <w:r>
        <w:rPr>
          <w:rFonts w:eastAsia="方正仿宋_GBK" w:hint="eastAsia"/>
          <w:sz w:val="32"/>
          <w:szCs w:val="32"/>
        </w:rPr>
        <w:t>12</w:t>
      </w:r>
      <w:r>
        <w:rPr>
          <w:rFonts w:eastAsia="方正仿宋_GBK"/>
          <w:sz w:val="32"/>
          <w:szCs w:val="32"/>
        </w:rPr>
        <w:t>·</w:t>
      </w:r>
      <w:r>
        <w:rPr>
          <w:rFonts w:eastAsia="方正仿宋_GBK" w:hint="eastAsia"/>
          <w:sz w:val="32"/>
          <w:szCs w:val="32"/>
        </w:rPr>
        <w:t>4</w:t>
      </w:r>
      <w:r>
        <w:rPr>
          <w:rFonts w:ascii="方正仿宋_GBK" w:eastAsia="方正仿宋_GBK" w:cs="Arial" w:hint="eastAsia"/>
          <w:sz w:val="32"/>
          <w:szCs w:val="32"/>
        </w:rPr>
        <w:t>”国家宪法日等重点宣传时间节点，开展专题讲座、走访调研、政策宣传会等活动，为企业和社会公众解读海关最新政策。在国门时报</w:t>
      </w:r>
      <w:r>
        <w:rPr>
          <w:rFonts w:ascii="方正仿宋_GBK" w:eastAsia="方正仿宋_GBK" w:cs="Arial"/>
          <w:sz w:val="32"/>
          <w:szCs w:val="32"/>
          <w:lang w:eastAsia="zh-CN"/>
        </w:rPr>
        <w:t>、</w:t>
      </w:r>
      <w:r>
        <w:rPr>
          <w:rFonts w:ascii="方正仿宋_GBK" w:eastAsia="方正仿宋_GBK" w:cs="Arial" w:hint="eastAsia"/>
          <w:sz w:val="32"/>
          <w:szCs w:val="32"/>
        </w:rPr>
        <w:t>中国海关杂志</w:t>
      </w:r>
      <w:r>
        <w:rPr>
          <w:rFonts w:ascii="方正仿宋_GBK" w:eastAsia="方正仿宋_GBK" w:cs="Arial"/>
          <w:sz w:val="32"/>
          <w:szCs w:val="32"/>
          <w:lang w:eastAsia="zh-CN"/>
        </w:rPr>
        <w:t>、</w:t>
      </w:r>
      <w:r>
        <w:rPr>
          <w:rFonts w:ascii="方正仿宋_GBK" w:eastAsia="方正仿宋_GBK" w:cs="Arial" w:hint="eastAsia"/>
          <w:sz w:val="32"/>
          <w:szCs w:val="32"/>
        </w:rPr>
        <w:t>天津海关</w:t>
      </w:r>
      <w:r>
        <w:rPr>
          <w:rFonts w:eastAsia="方正仿宋_GBK"/>
          <w:sz w:val="32"/>
          <w:szCs w:val="32"/>
        </w:rPr>
        <w:t>12360</w:t>
      </w:r>
      <w:r>
        <w:rPr>
          <w:rFonts w:ascii="方正仿宋_GBK" w:eastAsia="方正仿宋_GBK" w:cs="Arial" w:hint="eastAsia"/>
          <w:sz w:val="32"/>
          <w:szCs w:val="32"/>
        </w:rPr>
        <w:t>热线等媒体发布</w:t>
      </w:r>
      <w:r>
        <w:rPr>
          <w:rFonts w:ascii="方正仿宋_GBK" w:eastAsia="方正仿宋_GBK" w:cs="Arial" w:hint="eastAsia"/>
          <w:sz w:val="32"/>
          <w:szCs w:val="32"/>
          <w:lang w:eastAsia="zh-CN"/>
        </w:rPr>
        <w:t>《</w:t>
      </w:r>
      <w:r>
        <w:rPr>
          <w:rFonts w:ascii="方正仿宋_GBK" w:eastAsia="方正仿宋_GBK" w:cs="Arial" w:hint="eastAsia"/>
          <w:sz w:val="32"/>
          <w:szCs w:val="32"/>
        </w:rPr>
        <w:t>液化天然气返装出口</w:t>
      </w:r>
      <w:r>
        <w:rPr>
          <w:rFonts w:ascii="方正仿宋_GBK" w:eastAsia="方正仿宋_GBK" w:cs="Arial" w:hint="eastAsia"/>
          <w:sz w:val="32"/>
          <w:szCs w:val="32"/>
          <w:lang w:eastAsia="zh-CN"/>
        </w:rPr>
        <w:t>》、《</w:t>
      </w:r>
      <w:r>
        <w:rPr>
          <w:rFonts w:ascii="方正仿宋_GBK" w:eastAsia="方正仿宋_GBK" w:cs="Arial" w:hint="eastAsia"/>
          <w:sz w:val="32"/>
          <w:szCs w:val="32"/>
        </w:rPr>
        <w:t>液化天然气保税仓库</w:t>
      </w:r>
      <w:r>
        <w:rPr>
          <w:rFonts w:ascii="方正仿宋_GBK" w:eastAsia="方正仿宋_GBK" w:cs="Arial" w:hint="eastAsia"/>
          <w:sz w:val="32"/>
          <w:szCs w:val="32"/>
          <w:lang w:eastAsia="zh-CN"/>
        </w:rPr>
        <w:t>》</w:t>
      </w:r>
      <w:r>
        <w:rPr>
          <w:rFonts w:ascii="方正仿宋_GBK" w:eastAsia="方正仿宋_GBK" w:cs="Arial" w:hint="eastAsia"/>
          <w:sz w:val="32"/>
          <w:szCs w:val="32"/>
        </w:rPr>
        <w:t>相关业务政策解读，为企业排忧解难。深化企呼关应“直通车”机制，主动倾听企业诉求，帮助解决实际困难</w:t>
      </w:r>
      <w:r>
        <w:rPr>
          <w:rFonts w:eastAsia="方正仿宋_GBK" w:hint="eastAsia"/>
          <w:sz w:val="32"/>
          <w:szCs w:val="32"/>
        </w:rPr>
        <w:t>，2025</w:t>
      </w:r>
      <w:r>
        <w:rPr>
          <w:rFonts w:ascii="方正仿宋_GBK" w:eastAsia="方正仿宋_GBK" w:cs="Arial" w:hint="eastAsia"/>
          <w:sz w:val="32"/>
          <w:szCs w:val="32"/>
        </w:rPr>
        <w:t>年，共开展关长接待日活动</w:t>
      </w:r>
      <w:r>
        <w:rPr>
          <w:rFonts w:eastAsia="方正仿宋_GBK" w:hint="eastAsia"/>
          <w:sz w:val="32"/>
          <w:szCs w:val="32"/>
        </w:rPr>
        <w:t>12</w:t>
      </w:r>
      <w:r>
        <w:rPr>
          <w:rFonts w:ascii="方正仿宋_GBK" w:eastAsia="方正仿宋_GBK" w:cs="Arial" w:hint="eastAsia"/>
          <w:sz w:val="32"/>
          <w:szCs w:val="32"/>
        </w:rPr>
        <w:t>次，“关长送政策上门”活动</w:t>
      </w:r>
      <w:r>
        <w:rPr>
          <w:rFonts w:eastAsia="方正仿宋_GBK" w:hint="eastAsia"/>
          <w:sz w:val="32"/>
          <w:szCs w:val="32"/>
        </w:rPr>
        <w:t>7</w:t>
      </w:r>
      <w:r>
        <w:rPr>
          <w:rFonts w:ascii="方正仿宋_GBK" w:eastAsia="方正仿宋_GBK" w:cs="Arial" w:hint="eastAsia"/>
          <w:sz w:val="32"/>
          <w:szCs w:val="32"/>
        </w:rPr>
        <w:t>次，关企座谈会</w:t>
      </w:r>
      <w:r>
        <w:rPr>
          <w:rFonts w:eastAsia="方正仿宋_GBK" w:hint="eastAsia"/>
          <w:sz w:val="32"/>
          <w:szCs w:val="32"/>
        </w:rPr>
        <w:t>2</w:t>
      </w:r>
      <w:r>
        <w:rPr>
          <w:rFonts w:ascii="方正仿宋_GBK" w:eastAsia="方正仿宋_GBK" w:cs="Arial" w:hint="eastAsia"/>
          <w:sz w:val="32"/>
          <w:szCs w:val="32"/>
        </w:rPr>
        <w:t>次和网络意见征集</w:t>
      </w:r>
      <w:r>
        <w:rPr>
          <w:rFonts w:eastAsia="方正仿宋_GBK" w:hint="eastAsia"/>
          <w:sz w:val="32"/>
          <w:szCs w:val="32"/>
        </w:rPr>
        <w:t>1</w:t>
      </w:r>
      <w:r>
        <w:rPr>
          <w:rFonts w:ascii="方正仿宋_GBK" w:eastAsia="方正仿宋_GBK" w:cs="Arial" w:hint="eastAsia"/>
          <w:sz w:val="32"/>
          <w:szCs w:val="32"/>
        </w:rPr>
        <w:t>次，围绕企业和群众关切，积极解疑释惑，让政务公开、政策解读真正直达基层、直达企业。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ascii="方正楷体_GBK" w:eastAsia="方正楷体_GBK" w:cs="Arial"/>
          <w:b/>
          <w:sz w:val="32"/>
          <w:szCs w:val="32"/>
        </w:rPr>
      </w:pPr>
      <w:r>
        <w:rPr>
          <w:rFonts w:ascii="方正楷体_GBK" w:eastAsia="方正楷体_GBK" w:cs="Arial" w:hint="eastAsia"/>
          <w:b/>
          <w:sz w:val="32"/>
          <w:szCs w:val="32"/>
        </w:rPr>
        <w:t>（三）深化主动公开，加强政策解读力度。</w:t>
      </w:r>
    </w:p>
    <w:p>
      <w:pPr>
        <w:pStyle w:val="26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rPr>
          <w:rFonts w:ascii="方正仿宋_GBK" w:eastAsia="方正仿宋_GBK" w:cs="Arial"/>
          <w:sz w:val="32"/>
          <w:szCs w:val="32"/>
        </w:rPr>
      </w:pPr>
      <w:r>
        <w:rPr>
          <w:rFonts w:ascii="方正仿宋_GBK" w:eastAsia="方正仿宋_GBK" w:cs="Arial" w:hint="eastAsia"/>
          <w:sz w:val="32"/>
          <w:szCs w:val="32"/>
        </w:rPr>
        <w:t xml:space="preserve">将政务公开与天津大港海关特色业务深度融合，完善政务公开栏，聚焦重点领域公开，围绕执法信息、优化营商环境、政府采购、涉企收费等海关工作内容，通过图表等形式展现各项政务办事流程，扩大受众面，确保企业“听得懂、信得过、用得好”，便利企业、群众办事咨询，方便社会监督。深化“港政通”政务公开品牌建设，结合辖区重点业务丰富品牌内容、释放品牌效能，针对货物通关、企业管理、稽查核查、原产地管理等业务流程，规范编制办事详解。  </w:t>
      </w:r>
    </w:p>
    <w:p>
      <w:pPr>
        <w:pStyle w:val="52"/>
        <w:adjustRightInd w:val="0"/>
        <w:snapToGrid w:val="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2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7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21"/>
        <w:tabs>
          <w:tab w:val="center" w:pos="4153"/>
          <w:tab w:val="right" w:pos="8306"/>
        </w:tabs>
      </w:pPr>
    </w:p>
    <w:p>
      <w:pPr>
        <w:pStyle w:val="26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39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="120" w:afterAutospacing="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 xml:space="preserve">    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6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52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（一）2024年年报中所提问题整改情况。</w:t>
      </w:r>
    </w:p>
    <w:p>
      <w:pPr>
        <w:pStyle w:val="45"/>
        <w:adjustRightInd w:val="0"/>
        <w:snapToGrid w:val="0"/>
        <w:ind w:firstLineChars="200" w:firstLine="624"/>
      </w:pPr>
      <w:r>
        <w:rPr>
          <w:rFonts w:hint="eastAsia"/>
        </w:rPr>
        <w:t>针对政策解读形式相对单一，多为文字解读稿的问题。积极整合宣传渠道，优化政务公开专区，畅通互动回应渠道，通过多功能查询机、公开栏、公开展板、公开大屏幕等多种形式，多渠道全场景开展政策解读，不断提升天津大港海关政务公开工作实效。</w:t>
      </w:r>
    </w:p>
    <w:p>
      <w:pPr>
        <w:pStyle w:val="45"/>
        <w:adjustRightInd w:val="0"/>
        <w:snapToGrid w:val="0"/>
        <w:ind w:firstLineChars="200" w:firstLine="624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（二）目前存在问题。</w:t>
      </w:r>
    </w:p>
    <w:p>
      <w:pPr>
        <w:pStyle w:val="45"/>
        <w:adjustRightInd w:val="0"/>
        <w:snapToGrid w:val="0"/>
        <w:ind w:firstLineChars="200" w:firstLine="624"/>
      </w:pPr>
      <w:r>
        <w:rPr>
          <w:rFonts w:hint="eastAsia"/>
        </w:rPr>
        <w:t>在基层政务公开工作中，专业的业务培训开展较少。下一步，我关将不断优化培训体系、丰富培训内容，以更高标准、更严要求，做好政务公开工作。</w:t>
      </w:r>
    </w:p>
    <w:p>
      <w:pPr>
        <w:pStyle w:val="45"/>
        <w:adjustRightInd w:val="0"/>
        <w:snapToGrid w:val="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六、其他需要报告的事项</w:t>
      </w:r>
      <w:bookmarkEnd w:id="1"/>
    </w:p>
    <w:p>
      <w:pPr>
        <w:pStyle w:val="51"/>
        <w:adjustRightInd w:val="0"/>
        <w:snapToGrid w:val="0"/>
        <w:ind w:firstLineChars="200" w:firstLine="624"/>
      </w:pPr>
      <w:r>
        <w:rPr>
          <w:rFonts w:hint="eastAsia"/>
        </w:rPr>
        <w:t>无</w:t>
      </w:r>
      <w:r>
        <w:t>。</w:t>
      </w:r>
    </w:p>
    <w:p>
      <w:pPr>
        <w:pStyle w:val="21"/>
        <w:tabs>
          <w:tab w:val="center" w:pos="4153"/>
          <w:tab w:val="right" w:pos="8306"/>
        </w:tabs>
      </w:pPr>
    </w:p>
    <w:p>
      <w:pPr>
        <w:pStyle w:val="21"/>
        <w:tabs>
          <w:tab w:val="center" w:pos="4153"/>
          <w:tab w:val="right" w:pos="8306"/>
        </w:tabs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center"/>
    </w:pPr>
  </w:p>
  <w:p>
    <w:pPr>
      <w:pStyle w:val="21"/>
      <w:tabs>
        <w:tab w:val="center" w:pos="4153"/>
        <w:tab w:val="right" w:pos="8306"/>
      </w:tabs>
      <w:jc w:val="center"/>
    </w:pPr>
  </w:p>
  <w:p>
    <w:pPr>
      <w:pStyle w:val="21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- 3 -</w:t>
    </w:r>
    <w: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- 6 -</w:t>
    </w:r>
    <w:r>
      <w:fldChar w:fldCharType="end"/>
    </w:r>
  </w:p>
  <w:p>
    <w:pPr>
      <w:pStyle w:val="21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6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1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List Number 2"/>
    <w:basedOn w:val="0"/>
    <w:pPr>
      <w:tabs>
        <w:tab w:val="left" w:pos="780"/>
      </w:tabs>
      <w:ind w:left="780" w:hanging="360"/>
    </w:pPr>
  </w:style>
  <w:style w:type="paragraph" w:styleId="16">
    <w:name w:val="index 8"/>
    <w:basedOn w:val="0"/>
    <w:autoRedefine/>
    <w:next w:val="0"/>
    <w:pPr>
      <w:ind w:left="2940"/>
    </w:pPr>
  </w:style>
  <w:style w:type="paragraph" w:styleId="17">
    <w:name w:val="index 5"/>
    <w:basedOn w:val="0"/>
    <w:autoRedefine/>
    <w:next w:val="0"/>
    <w:pPr>
      <w:ind w:left="1680"/>
    </w:pPr>
  </w:style>
  <w:style w:type="paragraph" w:styleId="18">
    <w:name w:val="annotation text"/>
    <w:basedOn w:val="0"/>
    <w:pPr>
      <w:jc w:val="left"/>
    </w:pPr>
  </w:style>
  <w:style w:type="paragraph" w:styleId="19">
    <w:name w:val="index 6"/>
    <w:basedOn w:val="0"/>
    <w:autoRedefine/>
    <w:next w:val="0"/>
    <w:pPr>
      <w:ind w:left="210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0"/>
    <w:autoRedefine/>
    <w:next w:val="0"/>
  </w:style>
  <w:style w:type="paragraph" w:styleId="24">
    <w:name w:val="index 7"/>
    <w:basedOn w:val="0"/>
    <w:autoRedefine/>
    <w:next w:val="0"/>
    <w:pPr>
      <w:ind w:left="2520"/>
    </w:pPr>
  </w:style>
  <w:style w:type="paragraph" w:styleId="25">
    <w:name w:val="toc 2"/>
    <w:basedOn w:val="0"/>
    <w:autoRedefine/>
    <w:next w:val="0"/>
    <w:pPr>
      <w:ind w:left="420"/>
    </w:pPr>
  </w:style>
  <w:style w:type="paragraph" w:styleId="26">
    <w:name w:val="Normal (Web)"/>
    <w:next w:val="21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7">
    <w:name w:val="annotation subject"/>
    <w:basedOn w:val="18"/>
    <w:next w:val="18"/>
    <w:rPr>
      <w:b/>
      <w:bCs/>
    </w:rPr>
  </w:style>
  <w:style w:type="character" w:styleId="28">
    <w:name w:val="page number"/>
    <w:basedOn w:val="10"/>
  </w:style>
  <w:style w:type="character" w:styleId="29">
    <w:name w:val="annotation reference"/>
    <w:basedOn w:val="10"/>
    <w:rPr>
      <w:sz w:val="21"/>
      <w:szCs w:val="21"/>
    </w:rPr>
  </w:style>
  <w:style w:type="paragraph" w:customStyle="1" w:styleId="30">
    <w:name w:val="样式 三号"/>
    <w:next w:val="3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1">
    <w:name w:val="样式 三号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2">
    <w:name w:val="正文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正文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8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9">
    <w:name w:val="样式 小三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1 小四"/>
    <w:next w:val="36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1">
    <w:name w:val="样式 6 小四"/>
    <w:next w:val="3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2">
    <w:name w:val="样式 20 小四"/>
    <w:next w:val="17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3">
    <w:name w:val="样式 12 三号"/>
    <w:next w:val="16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4">
    <w:name w:val="样式 50 三号"/>
    <w:next w:val="19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5">
    <w:name w:val="样式 13 三号"/>
    <w:next w:val="24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6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7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1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2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3">
    <w:name w:val="样式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54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9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60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61">
    <w:name w:val="样式 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4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</Application>
  <Pages>6</Pages>
  <Words>2062</Words>
  <Characters>2104</Characters>
  <Lines>416</Lines>
  <Paragraphs>305</Paragraphs>
  <CharactersWithSpaces>2114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苗鑫</cp:lastModifiedBy>
  <cp:revision>22</cp:revision>
  <cp:lastPrinted>2025-01-15T05:39:00Z</cp:lastPrinted>
  <dcterms:created xsi:type="dcterms:W3CDTF">2025-01-07T02:23:00Z</dcterms:created>
  <dcterms:modified xsi:type="dcterms:W3CDTF">2026-01-30T06:01:20Z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eyJoZGlkIjoiYzk2MDI5ZjA4MzQ4ZDQ0MTE4ZTQ3YzhlOTc1MDMyMGEifQ==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6928CD4664CE441C8C7FF50D6CF81680_13</vt:lpwstr>
  </property>
</Properties>
</file>