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9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天津邮局海关2025年政府信息公开工作</w:t>
      </w:r>
    </w:p>
    <w:p>
      <w:pPr>
        <w:pStyle w:val="49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  <w:bookmarkEnd w:id="0"/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</w:rPr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Chars="200" w:firstLine="608"/>
        <w:rPr>
          <w:snapToGrid w:val="0"/>
          <w:spacing w:val="-6"/>
          <w:kern w:val="0"/>
          <w:szCs w:val="32"/>
        </w:rPr>
      </w:pPr>
      <w:r>
        <w:rPr>
          <w:rFonts w:hint="eastAsia"/>
          <w:spacing w:val="-8"/>
          <w:szCs w:val="20"/>
        </w:rPr>
        <w:t>2</w:t>
      </w:r>
      <w:r>
        <w:rPr>
          <w:spacing w:val="-8"/>
          <w:szCs w:val="20"/>
        </w:rPr>
        <w:t>02</w:t>
      </w:r>
      <w:r>
        <w:rPr>
          <w:rFonts w:hint="eastAsia"/>
          <w:spacing w:val="-8"/>
          <w:szCs w:val="20"/>
        </w:rPr>
        <w:t>5年</w:t>
      </w:r>
      <w:r>
        <w:rPr>
          <w:rFonts w:ascii="方正仿宋_GBK" w:cs="Arial" w:hint="eastAsia"/>
          <w:szCs w:val="32"/>
        </w:rPr>
        <w:t>，天津邮局海关认真落实</w:t>
      </w:r>
      <w:r>
        <w:rPr>
          <w:rFonts w:ascii="方正仿宋_GBK" w:cs="Arial" w:hint="eastAsia"/>
          <w:szCs w:val="32"/>
          <w:lang w:eastAsia="zh-CN"/>
        </w:rPr>
        <w:t>党</w:t>
      </w:r>
      <w:r>
        <w:rPr>
          <w:rFonts w:ascii="方正仿宋_GBK" w:cs="Arial" w:hint="eastAsia"/>
          <w:szCs w:val="32"/>
        </w:rPr>
        <w:t>中央、国务院关于政务公开工作的决策部署，</w:t>
      </w:r>
      <w:r>
        <w:rPr>
          <w:rFonts w:hint="eastAsia"/>
          <w:spacing w:val="-6"/>
          <w:szCs w:val="20"/>
        </w:rPr>
        <w:t>按照</w:t>
      </w:r>
      <w:r>
        <w:rPr>
          <w:spacing w:val="-6"/>
          <w:szCs w:val="20"/>
        </w:rPr>
        <w:t>《中华人民共和国政府信息公开条例》</w:t>
      </w:r>
      <w:r>
        <w:rPr>
          <w:spacing w:val="-8"/>
          <w:szCs w:val="20"/>
        </w:rPr>
        <w:t>《国务院办公厅政府信息与政务公开办公室关于印发&lt;中华人民共和国政府信息公开工作年度报告格式&gt;的通知》（国办公开办函</w:t>
      </w:r>
      <w:r>
        <w:rPr>
          <w:spacing w:val="-8"/>
        </w:rPr>
        <w:t>〔2021〕</w:t>
      </w:r>
      <w:r>
        <w:rPr>
          <w:spacing w:val="-8"/>
          <w:szCs w:val="20"/>
        </w:rPr>
        <w:t>30号）</w:t>
      </w:r>
      <w:r>
        <w:rPr>
          <w:rFonts w:hint="eastAsia"/>
          <w:spacing w:val="-8"/>
          <w:szCs w:val="20"/>
        </w:rPr>
        <w:t>要求，拓宽政策发布渠道、多元丰富信息发布内容、</w:t>
      </w:r>
      <w:r>
        <w:rPr>
          <w:rFonts w:ascii="方正仿宋_GBK" w:hint="eastAsia"/>
          <w:szCs w:val="32"/>
        </w:rPr>
        <w:t>主动服务解决群众急难愁盼，营造邮递渠道良好营商环境</w:t>
      </w:r>
      <w:r>
        <w:rPr>
          <w:szCs w:val="32"/>
        </w:rPr>
        <w:t>。</w:t>
      </w:r>
    </w:p>
    <w:p>
      <w:pPr>
        <w:pStyle w:val="23"/>
        <w:rPr>
          <w:rFonts w:ascii="方正楷体_GBK" w:eastAsia="方正楷体_GBK" w:hint="eastAsia"/>
          <w:b/>
          <w:color w:val="000000"/>
          <w:spacing w:val="-4"/>
          <w:szCs w:val="32"/>
        </w:rPr>
      </w:pPr>
      <w:r>
        <w:rPr>
          <w:rFonts w:ascii="方正楷体_GBK" w:eastAsia="方正楷体_GBK" w:hint="eastAsia"/>
          <w:b/>
          <w:color w:val="000000"/>
          <w:spacing w:val="-4"/>
          <w:szCs w:val="32"/>
        </w:rPr>
        <w:t>（一）用心用情，着力提升为民服务质量。</w:t>
      </w:r>
    </w:p>
    <w:p>
      <w:pPr>
        <w:pStyle w:val="35"/>
        <w:spacing w:line="560" w:lineRule="exact"/>
        <w:ind w:firstLineChars="300" w:firstLine="960"/>
        <w:rPr>
          <w:rFonts w:ascii="方正仿宋_GBK" w:hint="eastAsia"/>
          <w:szCs w:val="32"/>
        </w:rPr>
      </w:pPr>
      <w:r>
        <w:rPr>
          <w:rFonts w:ascii="方正仿宋_GBK" w:hint="eastAsia"/>
          <w:szCs w:val="32"/>
        </w:rPr>
        <w:t>本着“群众权益维护好、合理诉求解决好”的原则，向用邮群众推送短信告知</w:t>
      </w:r>
      <w:r>
        <w:rPr>
          <w:szCs w:val="32"/>
        </w:rPr>
        <w:t>84201781</w:t>
      </w:r>
      <w:r>
        <w:rPr>
          <w:rFonts w:ascii="方正仿宋_GBK" w:hint="eastAsia"/>
          <w:szCs w:val="32"/>
        </w:rPr>
        <w:t>客服热线，工作时间随时接听热线，非工作时间设置外网申报邮箱和投诉建议邮箱，并在</w:t>
      </w:r>
      <w:r>
        <w:rPr>
          <w:rFonts w:ascii="方正仿宋_GBK" w:hint="eastAsia"/>
          <w:szCs w:val="32"/>
          <w:lang w:eastAsia="zh-CN"/>
        </w:rPr>
        <w:t>“</w:t>
      </w:r>
      <w:r>
        <w:rPr>
          <w:rFonts w:ascii="方正仿宋_GBK" w:hint="eastAsia"/>
          <w:szCs w:val="32"/>
        </w:rPr>
        <w:t>关邮津城通</w:t>
      </w:r>
      <w:r>
        <w:rPr>
          <w:rFonts w:ascii="方正仿宋_GBK" w:hint="eastAsia"/>
          <w:szCs w:val="32"/>
          <w:lang w:eastAsia="zh-CN"/>
        </w:rPr>
        <w:t>”</w:t>
      </w:r>
      <w:r>
        <w:rPr>
          <w:rFonts w:ascii="方正仿宋_GBK" w:hint="eastAsia"/>
          <w:szCs w:val="32"/>
        </w:rPr>
        <w:t>微信公众号开通在线留言功能，对各个渠道企业群众反映的通关和舆情问题畅通联系渠道，建立清单台账，明确跟踪机制，实施闭环管理，探索建立综合业务、邮件监管、后续处置跨领域、跨科室的联动解决机制，确保问题清零，做</w:t>
      </w:r>
      <w:r>
        <w:rPr>
          <w:szCs w:val="32"/>
        </w:rPr>
        <w:t>到100%</w:t>
      </w:r>
      <w:r>
        <w:rPr>
          <w:rFonts w:ascii="方正仿宋_GBK" w:hint="eastAsia"/>
          <w:szCs w:val="32"/>
        </w:rPr>
        <w:t>及时妥善处置。</w:t>
      </w:r>
    </w:p>
    <w:p>
      <w:pPr>
        <w:pStyle w:val="35"/>
        <w:spacing w:line="560" w:lineRule="exact"/>
        <w:ind w:firstLineChars="300" w:firstLine="936"/>
        <w:rPr>
          <w:rFonts w:ascii="方正楷体_GBK" w:eastAsia="方正楷体_GBK" w:hint="eastAsia"/>
          <w:b/>
          <w:color w:val="000000"/>
          <w:spacing w:val="-4"/>
          <w:szCs w:val="32"/>
        </w:rPr>
      </w:pPr>
      <w:r>
        <w:rPr>
          <w:rFonts w:ascii="方正楷体_GBK" w:eastAsia="方正楷体_GBK" w:hint="eastAsia"/>
          <w:b/>
          <w:color w:val="000000"/>
          <w:spacing w:val="-4"/>
          <w:szCs w:val="32"/>
        </w:rPr>
        <w:t>（二）拓展载体，广泛提升政策知晓度。</w:t>
      </w:r>
    </w:p>
    <w:p>
      <w:pPr>
        <w:pStyle w:val="35"/>
        <w:spacing w:line="560" w:lineRule="exact"/>
        <w:ind w:firstLineChars="300" w:firstLine="936"/>
        <w:jc w:val="left"/>
        <w:rPr>
          <w:rFonts w:ascii="方正仿宋_GBK" w:hint="eastAsia"/>
          <w:color w:val="000000"/>
          <w:spacing w:val="-4"/>
          <w:szCs w:val="32"/>
        </w:rPr>
      </w:pPr>
      <w:r>
        <w:rPr>
          <w:rFonts w:ascii="方正仿宋_GBK" w:hint="eastAsia"/>
          <w:color w:val="000000"/>
          <w:spacing w:val="-4"/>
          <w:szCs w:val="32"/>
        </w:rPr>
        <w:t>年内，聚焦“进出境邮件一站式监管平台上线”“初次违法免罚”等对用邮企业和群众较为关键的重要工作内容，通过电视、报纸、新媒体等广泛发布并开展政策解读，其中“进出境邮件一站式平台上线”相关内容累计获各类媒体刊发</w:t>
      </w:r>
      <w:r>
        <w:rPr>
          <w:color w:val="000000"/>
          <w:spacing w:val="-4"/>
          <w:szCs w:val="32"/>
        </w:rPr>
        <w:t>17</w:t>
      </w:r>
      <w:r>
        <w:rPr>
          <w:rFonts w:ascii="方正仿宋_GBK" w:hint="eastAsia"/>
          <w:color w:val="000000"/>
          <w:spacing w:val="-4"/>
          <w:szCs w:val="32"/>
        </w:rPr>
        <w:t>次，提升用邮企业和群众的知晓度，增进群众受益程度；深入开展“政策宣传进公园、上街头、进校园”等活动，由公职律师带队组建专业政策宣传团队，年内累计开展普法宣讲活</w:t>
      </w:r>
      <w:r>
        <w:rPr>
          <w:color w:val="000000"/>
          <w:spacing w:val="-4"/>
          <w:szCs w:val="32"/>
        </w:rPr>
        <w:t>动</w:t>
      </w:r>
      <w:r>
        <w:rPr>
          <w:rFonts w:hint="eastAsia"/>
          <w:color w:val="000000"/>
          <w:spacing w:val="-4"/>
          <w:szCs w:val="32"/>
        </w:rPr>
        <w:t>7</w:t>
      </w:r>
      <w:r>
        <w:rPr>
          <w:color w:val="000000"/>
          <w:spacing w:val="-4"/>
          <w:szCs w:val="32"/>
        </w:rPr>
        <w:t>余次，受众</w:t>
      </w:r>
      <w:r>
        <w:rPr>
          <w:rFonts w:hint="eastAsia"/>
          <w:color w:val="000000"/>
          <w:spacing w:val="-4"/>
          <w:szCs w:val="32"/>
        </w:rPr>
        <w:t>5</w:t>
      </w:r>
      <w:r>
        <w:rPr>
          <w:color w:val="000000"/>
          <w:spacing w:val="-4"/>
          <w:szCs w:val="32"/>
        </w:rPr>
        <w:t>00余人。</w:t>
      </w:r>
    </w:p>
    <w:p>
      <w:pPr>
        <w:pStyle w:val="35"/>
        <w:spacing w:line="560" w:lineRule="exact"/>
        <w:ind w:firstLineChars="300" w:firstLine="936"/>
        <w:rPr>
          <w:rFonts w:ascii="方正楷体_GBK" w:eastAsia="方正楷体_GBK" w:hint="eastAsia"/>
          <w:b/>
          <w:color w:val="000000"/>
          <w:spacing w:val="-4"/>
          <w:szCs w:val="32"/>
        </w:rPr>
      </w:pPr>
      <w:r>
        <w:rPr>
          <w:rFonts w:ascii="方正楷体_GBK" w:eastAsia="方正楷体_GBK" w:hint="eastAsia"/>
          <w:b/>
          <w:color w:val="000000"/>
          <w:spacing w:val="-4"/>
          <w:szCs w:val="32"/>
        </w:rPr>
        <w:t>（三）畅通渠道，主动回应群众关切。</w:t>
      </w:r>
    </w:p>
    <w:p>
      <w:pPr>
        <w:adjustRightInd w:val="0"/>
        <w:snapToGrid w:val="0"/>
        <w:spacing w:line="560" w:lineRule="exact"/>
        <w:ind w:firstLineChars="200" w:firstLine="624"/>
        <w:rPr>
          <w:rFonts w:ascii="方正仿宋_GBK" w:hint="eastAsia"/>
          <w:spacing w:val="-6"/>
        </w:rPr>
      </w:pPr>
      <w:r>
        <w:rPr>
          <w:color w:val="000000"/>
          <w:spacing w:val="-4"/>
          <w:szCs w:val="32"/>
        </w:rPr>
        <w:t>202</w:t>
      </w:r>
      <w:r>
        <w:rPr>
          <w:rFonts w:hint="eastAsia"/>
          <w:color w:val="000000"/>
          <w:spacing w:val="-4"/>
          <w:szCs w:val="32"/>
        </w:rPr>
        <w:t>5</w:t>
      </w:r>
      <w:r>
        <w:rPr>
          <w:rFonts w:ascii="方正仿宋_GBK" w:hint="eastAsia"/>
          <w:color w:val="000000"/>
          <w:spacing w:val="-4"/>
          <w:szCs w:val="32"/>
        </w:rPr>
        <w:t>年，邮局海关开展关长接待日</w:t>
      </w:r>
      <w:r>
        <w:rPr>
          <w:color w:val="000000"/>
          <w:spacing w:val="-4"/>
          <w:szCs w:val="32"/>
        </w:rPr>
        <w:t>12</w:t>
      </w:r>
      <w:r>
        <w:rPr>
          <w:rFonts w:ascii="方正仿宋_GBK" w:hint="eastAsia"/>
          <w:color w:val="000000"/>
          <w:spacing w:val="-4"/>
          <w:szCs w:val="32"/>
        </w:rPr>
        <w:t>次，在国际厅探索设立面洽工作室，针对进出境邮件通关过程中的补充申报、税款缴纳等争议纠纷多发环节，由公职律师牵头业务骨干深入践行新时代“枫桥经验”，与用邮群众面对面沟通，释法解惑，及时化解矛盾隐患；</w:t>
      </w:r>
      <w:r>
        <w:rPr>
          <w:rFonts w:ascii="方正仿宋_GBK" w:hint="eastAsia"/>
          <w:spacing w:val="-6"/>
        </w:rPr>
        <w:t>举办“小邮包大安全 海关开放日”“政策宣讲进企业”等活动，主动邀请天津大学师生代表、市民代表、媒体等现场体验邮件监管流程，增进群众理解，凝聚共识。</w:t>
      </w:r>
    </w:p>
    <w:p>
      <w:pPr>
        <w:pStyle w:val="43"/>
        <w:adjustRightInd w:val="0"/>
        <w:snapToGrid w:val="0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104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21"/>
        <w:tabs>
          <w:tab w:val="center" w:pos="4153"/>
          <w:tab w:val="right" w:pos="8306"/>
        </w:tabs>
        <w:spacing w:line="560" w:lineRule="exact"/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>
            <w:pPr>
              <w:pStyle w:val="38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38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38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38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</w:p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宋体" w:cs="宋体" w:hint="eastAsia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hint="eastAsia"/>
          <w:spacing w:val="-6"/>
          <w:szCs w:val="20"/>
        </w:rPr>
        <w:t>2024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>
      <w:pPr>
        <w:adjustRightInd w:val="0"/>
        <w:snapToGrid w:val="0"/>
        <w:spacing w:line="560" w:lineRule="exact"/>
        <w:ind w:firstLineChars="200" w:firstLine="616"/>
        <w:rPr>
          <w:rFonts w:ascii="方正仿宋_GBK" w:hint="eastAsia"/>
          <w:spacing w:val="-6"/>
        </w:rPr>
      </w:pPr>
      <w:r>
        <w:rPr>
          <w:spacing w:val="-6"/>
        </w:rPr>
        <w:t>针对</w:t>
      </w:r>
      <w:r>
        <w:rPr>
          <w:rFonts w:hint="eastAsia"/>
          <w:spacing w:val="-6"/>
        </w:rPr>
        <w:t>上一年度</w:t>
      </w:r>
      <w:r>
        <w:rPr>
          <w:spacing w:val="-6"/>
        </w:rPr>
        <w:t>年报中提出的</w:t>
      </w:r>
      <w:r>
        <w:rPr>
          <w:rFonts w:hint="eastAsia"/>
          <w:spacing w:val="-6"/>
        </w:rPr>
        <w:t>“推进政务公开与业务工作‘相融合、相促进’的方式有待进一步探索，‘以公开促落实’方面还有待提升”</w:t>
      </w:r>
      <w:r>
        <w:rPr>
          <w:spacing w:val="-6"/>
        </w:rPr>
        <w:t>问题，202</w:t>
      </w:r>
      <w:r>
        <w:rPr>
          <w:rFonts w:hint="eastAsia"/>
          <w:spacing w:val="-6"/>
        </w:rPr>
        <w:t>5</w:t>
      </w:r>
      <w:r>
        <w:rPr>
          <w:spacing w:val="-6"/>
        </w:rPr>
        <w:t>年</w:t>
      </w:r>
      <w:r>
        <w:rPr>
          <w:rFonts w:hint="eastAsia"/>
          <w:spacing w:val="-6"/>
        </w:rPr>
        <w:t>我关</w:t>
      </w:r>
      <w:r>
        <w:rPr>
          <w:rFonts w:ascii="方正仿宋_GBK" w:hint="eastAsia"/>
          <w:spacing w:val="-6"/>
        </w:rPr>
        <w:t>：</w:t>
      </w:r>
      <w:r>
        <w:rPr>
          <w:rFonts w:ascii="方正仿宋_GBK" w:hint="eastAsia"/>
          <w:b/>
          <w:spacing w:val="-6"/>
        </w:rPr>
        <w:t>一是建立政策同步解读机制。</w:t>
      </w:r>
      <w:r>
        <w:rPr>
          <w:rFonts w:ascii="方正仿宋_GBK" w:hint="eastAsia"/>
          <w:spacing w:val="-6"/>
        </w:rPr>
        <w:t>当有涉及邮件监管的新规定、新要求时，配合职能部门开展政策解读、宣讲，通过天津海关</w:t>
      </w:r>
      <w:r>
        <w:rPr>
          <w:spacing w:val="-6"/>
        </w:rPr>
        <w:t>12360</w:t>
      </w:r>
      <w:r>
        <w:rPr>
          <w:rFonts w:ascii="方正仿宋_GBK" w:hint="eastAsia"/>
          <w:spacing w:val="-6"/>
        </w:rPr>
        <w:t>热线微信公众号、门户网站、现场公告等多渠道发布，确保寄递企业和公众准确理解、有效执行；</w:t>
      </w:r>
      <w:r>
        <w:rPr>
          <w:rFonts w:ascii="方正仿宋_GBK" w:hint="eastAsia"/>
          <w:b/>
          <w:spacing w:val="-6"/>
        </w:rPr>
        <w:t>二是加大典型案例的发布力度。</w:t>
      </w:r>
      <w:r>
        <w:rPr>
          <w:rFonts w:ascii="方正仿宋_GBK" w:hint="eastAsia"/>
          <w:spacing w:val="-6"/>
        </w:rPr>
        <w:t>围绕邮递渠道常见问题、违规情形、禁限物品查处等，定期整理发布典型案例，以案释法、以案示警，提升政策执行的透明度和引导力。</w:t>
      </w:r>
    </w:p>
    <w:p>
      <w:pPr>
        <w:pStyle w:val="51"/>
        <w:numPr>
          <w:ilvl w:val="0"/>
          <w:numId w:val="1"/>
        </w:numPr>
        <w:adjustRightInd w:val="0"/>
        <w:snapToGrid w:val="0"/>
        <w:ind w:left="0" w:firstLineChars="200" w:firstLine="624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目前存在问题。</w:t>
      </w:r>
      <w:bookmarkEnd w:id="1"/>
    </w:p>
    <w:p>
      <w:pPr>
        <w:autoSpaceDN w:val="0"/>
        <w:adjustRightInd w:val="0"/>
        <w:snapToGrid w:val="0"/>
        <w:spacing w:line="560" w:lineRule="exact"/>
        <w:ind w:firstLineChars="200" w:firstLine="616"/>
        <w:rPr>
          <w:rFonts w:ascii="方正楷体_GBK" w:eastAsia="方正楷体_GBK" w:hint="eastAsia"/>
          <w:b/>
          <w:bCs/>
        </w:rPr>
      </w:pPr>
      <w:r>
        <w:rPr>
          <w:rFonts w:ascii="方正仿宋_GBK" w:cs="方正仿宋_GBK" w:hint="eastAsia"/>
          <w:spacing w:val="-6"/>
          <w:szCs w:val="32"/>
        </w:rPr>
        <w:t>政策解读的通俗性、生动性仍需加强，公众参与和监督的渠道可以进一步丰富。</w:t>
      </w:r>
      <w:r>
        <w:rPr>
          <w:rFonts w:ascii="方正楷体_GBK" w:eastAsia="方正楷体_GBK" w:hint="eastAsia"/>
          <w:b/>
          <w:bCs/>
        </w:rPr>
        <w:t xml:space="preserve">  </w:t>
      </w:r>
    </w:p>
    <w:p>
      <w:pPr>
        <w:pStyle w:val="44"/>
        <w:adjustRightInd w:val="0"/>
        <w:snapToGrid w:val="0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六、其他需要报告的事项</w:t>
      </w:r>
    </w:p>
    <w:p>
      <w:pPr>
        <w:pStyle w:val="50"/>
        <w:adjustRightInd w:val="0"/>
        <w:snapToGrid w:val="0"/>
        <w:ind w:firstLineChars="200" w:firstLine="624"/>
      </w:pPr>
      <w:r>
        <w:t>无。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  <w:bCs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8"/>
      </w:rPr>
      <w:fldChar w:fldCharType="begin"/>
    </w:r>
    <w:r>
      <w:rPr>
        <w:rStyle w:val="28"/>
      </w:rPr>
      <w:instrText>Page</w:instrText>
    </w:r>
    <w:r>
      <w:rPr>
        <w:rStyle w:val="28"/>
      </w:rPr>
      <w:fldChar w:fldCharType="separate"/>
    </w:r>
    <w:r>
      <w:rPr>
        <w:rStyle w:val="28"/>
      </w:rPr>
      <w:t>- 3 -</w:t>
    </w:r>
    <w:r>
      <w:rPr>
        <w:rStyle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8"/>
      </w:rPr>
      <w:fldChar w:fldCharType="begin"/>
    </w:r>
    <w:r>
      <w:rPr>
        <w:rStyle w:val="28"/>
      </w:rPr>
      <w:instrText>Page</w:instrText>
    </w:r>
    <w:r>
      <w:rPr>
        <w:rStyle w:val="28"/>
      </w:rPr>
      <w:fldChar w:fldCharType="separate"/>
    </w:r>
    <w:r>
      <w:rPr>
        <w:rStyle w:val="28"/>
      </w:rPr>
      <w:t>- 2 -</w:t>
    </w:r>
    <w:r>
      <w:rPr>
        <w:rStyle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8901B045"/>
    <w:multiLevelType w:val="singleLevel"/>
    <w:tmpl w:val="8901B045"/>
    <w:lvl w:ilvl="0">
      <w:start w:val="2"/>
      <w:numFmt w:val="chineseCounting"/>
      <w:lvlRestart w:val="0"/>
      <w:suff w:val="nothing"/>
      <w:lvlText w:val="（%1）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abstractNum w:abstractNumId="1">
    <w:nsid w:val="0B5AEB19"/>
    <w:multiLevelType w:val="singleLevel"/>
    <w:tmpl w:val="0B5AEB19"/>
    <w:lvl w:ilvl="0">
      <w:start w:val="1"/>
      <w:numFmt w:val="decimal"/>
      <w:lvlRestart w:val="0"/>
      <w:pStyle w:val="15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mM4NmYyOTdjOTQ3Y2Y4ZTIxYjllMDBiMzBhMzliO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Number 2"/>
    <w:basedOn w:val="0"/>
    <w:pPr>
      <w:numPr>
        <w:ilvl w:val="0"/>
        <w:numId w:val="2"/>
      </w:numPr>
    </w:pPr>
  </w:style>
  <w:style w:type="paragraph" w:styleId="16">
    <w:name w:val="index 8"/>
    <w:basedOn w:val="0"/>
    <w:next w:val="0"/>
    <w:pPr>
      <w:ind w:left="2940"/>
    </w:pPr>
  </w:style>
  <w:style w:type="paragraph" w:styleId="17">
    <w:name w:val="index 5"/>
    <w:basedOn w:val="0"/>
    <w:next w:val="0"/>
    <w:pPr>
      <w:ind w:left="1680"/>
    </w:pPr>
  </w:style>
  <w:style w:type="paragraph" w:styleId="18">
    <w:name w:val="annotation text"/>
    <w:basedOn w:val="0"/>
    <w:pPr>
      <w:jc w:val="left"/>
    </w:pPr>
  </w:style>
  <w:style w:type="paragraph" w:styleId="19">
    <w:name w:val="index 6"/>
    <w:basedOn w:val="0"/>
    <w:next w:val="0"/>
    <w:pPr>
      <w:ind w:left="210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0"/>
    <w:next w:val="0"/>
    <w:pPr>
      <w:spacing w:line="560" w:lineRule="exact"/>
      <w:ind w:firstLineChars="200" w:firstLine="200"/>
    </w:pPr>
    <w:rPr>
      <w:rFonts w:ascii="方正仿宋_GBK"/>
    </w:rPr>
  </w:style>
  <w:style w:type="paragraph" w:styleId="24">
    <w:name w:val="index 7"/>
    <w:basedOn w:val="0"/>
    <w:next w:val="0"/>
    <w:pPr>
      <w:ind w:left="2520"/>
    </w:pPr>
  </w:style>
  <w:style w:type="paragraph" w:styleId="25">
    <w:name w:val="toc 2"/>
    <w:basedOn w:val="0"/>
    <w:next w:val="0"/>
    <w:pPr>
      <w:ind w:left="420"/>
    </w:pPr>
  </w:style>
  <w:style w:type="paragraph" w:styleId="26">
    <w:name w:val="Normal (Web)"/>
    <w:next w:val="21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7">
    <w:name w:val="annotation subject"/>
    <w:basedOn w:val="18"/>
    <w:next w:val="18"/>
    <w:rPr>
      <w:b/>
    </w:rPr>
  </w:style>
  <w:style w:type="character" w:styleId="28">
    <w:name w:val="page number"/>
    <w:basedOn w:val="10"/>
  </w:style>
  <w:style w:type="paragraph" w:customStyle="1" w:styleId="29">
    <w:name w:val="样式 三号"/>
    <w:next w:val="3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0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2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8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1 小四"/>
    <w:next w:val="35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0">
    <w:name w:val="样式 6 小四"/>
    <w:next w:val="3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1">
    <w:name w:val="样式 20 小四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2">
    <w:name w:val="样式 12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3">
    <w:name w:val="样式 50 三号"/>
    <w:next w:val="1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4">
    <w:name w:val="样式 13 三号"/>
    <w:next w:val="2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0">
    <w:name w:val="样式 7 三号"/>
    <w:next w:val="4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2">
    <w:name w:val="样式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5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5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0">
    <w:name w:val="样式 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1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9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7</Pages>
  <Words>2036</Words>
  <Characters>2093</Characters>
  <Lines>415</Lines>
  <Paragraphs>305</Paragraphs>
  <CharactersWithSpaces>2096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苗鑫</cp:lastModifiedBy>
  <cp:revision>3</cp:revision>
  <cp:lastPrinted>2020-01-22T00:43:00Z</cp:lastPrinted>
  <dcterms:created xsi:type="dcterms:W3CDTF">2026-01-23T02:29:00Z</dcterms:created>
  <dcterms:modified xsi:type="dcterms:W3CDTF">2026-01-30T05:52:29Z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773FD334F4114EA389BA4CFC0050EC53_13</vt:lpwstr>
  </property>
  <property fmtid="{D5CDD505-2E9C-101B-9397-08002B2CF9AE}" pid="4" name="KSOTemplateDocerSaveRecord">
    <vt:lpwstr>eyJoZGlkIjoiYzk2MDI5ZjA4MzQ4ZDQ0MTE4ZTQ3YzhlOTc1MDMyMGEifQ==</vt:lpwstr>
  </property>
</Properties>
</file>