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2"/>
        <w:jc w:val="center"/>
        <w:rPr>
          <w:rFonts w:eastAsia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eastAsia="方正小标宋_GBK"/>
          <w:sz w:val="44"/>
          <w:szCs w:val="44"/>
        </w:rPr>
        <w:t>天津临港海关</w:t>
      </w:r>
      <w:r>
        <w:rPr>
          <w:rFonts w:ascii="方正小标宋_GBK" w:eastAsia="方正小标宋_GBK" w:cs="方正小标宋_GBK" w:hint="eastAsia"/>
          <w:sz w:val="44"/>
          <w:szCs w:val="44"/>
        </w:rPr>
        <w:t>2025</w:t>
      </w:r>
      <w:r>
        <w:rPr>
          <w:rFonts w:eastAsia="方正小标宋_GBK"/>
          <w:sz w:val="44"/>
          <w:szCs w:val="44"/>
        </w:rPr>
        <w:t>年政府信息公开工作</w:t>
      </w:r>
    </w:p>
    <w:p>
      <w:pPr>
        <w:pStyle w:val="52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年度报告</w:t>
      </w:r>
      <w:bookmarkEnd w:id="0"/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一、总体情况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sz w:val="32"/>
          <w:szCs w:val="32"/>
        </w:rPr>
      </w:pP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年，天津临港海关</w:t>
      </w:r>
      <w:r>
        <w:rPr>
          <w:rFonts w:eastAsia="方正仿宋_GBK" w:cs="方正仿宋_GBK" w:hint="eastAsia"/>
          <w:sz w:val="32"/>
          <w:szCs w:val="32"/>
        </w:rPr>
        <w:t>坚持以习近平新时代中国特色社会主义思想为指导，深入贯彻党的二十大和二十届历次全会精神，</w:t>
      </w:r>
      <w:r>
        <w:rPr>
          <w:rFonts w:eastAsia="方正仿宋_GBK"/>
          <w:sz w:val="32"/>
          <w:szCs w:val="32"/>
        </w:rPr>
        <w:t>落实《中华人民共和国政府信息公开条例》</w:t>
      </w:r>
      <w:r>
        <w:rPr>
          <w:rFonts w:eastAsia="方正仿宋_GBK" w:hint="eastAsia"/>
          <w:sz w:val="32"/>
          <w:szCs w:val="32"/>
          <w:lang w:eastAsia="zh-CN"/>
        </w:rPr>
        <w:t>和</w:t>
      </w:r>
      <w:r>
        <w:rPr>
          <w:rFonts w:eastAsia="方正仿宋_GBK" w:hint="eastAsia"/>
          <w:sz w:val="32"/>
          <w:szCs w:val="32"/>
        </w:rPr>
        <w:t>《天津海关政府信息公开工作规程》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落实</w:t>
      </w:r>
      <w:r>
        <w:rPr>
          <w:rFonts w:eastAsia="方正仿宋_GBK"/>
          <w:sz w:val="32"/>
          <w:szCs w:val="32"/>
        </w:rPr>
        <w:t>海关总署和天津海关有关规范政府信息公开工作要求</w:t>
      </w:r>
      <w:r>
        <w:rPr>
          <w:rFonts w:eastAsia="方正仿宋_GBK"/>
          <w:bCs/>
          <w:spacing w:val="-6"/>
          <w:sz w:val="32"/>
          <w:szCs w:val="32"/>
        </w:rPr>
        <w:t>，</w:t>
      </w:r>
      <w:r>
        <w:rPr>
          <w:rFonts w:eastAsia="方正仿宋_GBK" w:hint="eastAsia"/>
          <w:bCs/>
          <w:spacing w:val="-6"/>
          <w:sz w:val="32"/>
          <w:szCs w:val="32"/>
        </w:rPr>
        <w:t>扎实推进政务公开各项工作</w:t>
      </w:r>
      <w:r>
        <w:rPr>
          <w:rFonts w:eastAsia="方正仿宋_GBK"/>
          <w:sz w:val="32"/>
          <w:szCs w:val="32"/>
        </w:rPr>
        <w:t>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楷体_GBK" w:hint="eastAsia"/>
          <w:b/>
          <w:sz w:val="32"/>
          <w:szCs w:val="32"/>
        </w:rPr>
      </w:pPr>
      <w:r>
        <w:rPr>
          <w:rFonts w:eastAsia="方正楷体_GBK"/>
          <w:b/>
          <w:sz w:val="32"/>
          <w:szCs w:val="32"/>
        </w:rPr>
        <w:t>（一）</w:t>
      </w:r>
      <w:r>
        <w:rPr>
          <w:rFonts w:eastAsia="方正楷体_GBK" w:hint="eastAsia"/>
          <w:b/>
          <w:sz w:val="32"/>
          <w:szCs w:val="32"/>
        </w:rPr>
        <w:t>政务公开基本情况。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16"/>
        <w:jc w:val="both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bCs/>
          <w:spacing w:val="-6"/>
          <w:sz w:val="32"/>
          <w:szCs w:val="32"/>
        </w:rPr>
        <w:t>2025年，临港海关通过天津海关官方网站、临港海关政务公开</w:t>
      </w:r>
      <w:r>
        <w:rPr>
          <w:rFonts w:eastAsia="方正仿宋_GBK"/>
          <w:bCs/>
          <w:spacing w:val="-6"/>
          <w:sz w:val="32"/>
          <w:szCs w:val="32"/>
        </w:rPr>
        <w:t>栏</w:t>
      </w:r>
      <w:r>
        <w:rPr>
          <w:rFonts w:eastAsia="方正仿宋_GBK" w:hint="eastAsia"/>
          <w:bCs/>
          <w:spacing w:val="-6"/>
          <w:sz w:val="32"/>
          <w:szCs w:val="32"/>
        </w:rPr>
        <w:t>等方式主动公开</w:t>
      </w:r>
      <w:r>
        <w:rPr>
          <w:rFonts w:eastAsia="方正仿宋_GBK"/>
          <w:bCs/>
          <w:spacing w:val="-6"/>
          <w:sz w:val="32"/>
          <w:szCs w:val="32"/>
        </w:rPr>
        <w:t>政府信息</w:t>
      </w:r>
      <w:r>
        <w:rPr>
          <w:rFonts w:eastAsia="方正仿宋_GBK" w:hint="eastAsia"/>
          <w:bCs/>
          <w:spacing w:val="-6"/>
          <w:sz w:val="32"/>
          <w:szCs w:val="32"/>
        </w:rPr>
        <w:t>8条，涵盖政府信息公开工作年报、行政执法统计年报、办事流程等，提高了海关工作透明度。互联网渠道接受依申请公开2条，按照</w:t>
      </w:r>
      <w:r>
        <w:rPr>
          <w:rFonts w:eastAsia="方正仿宋_GBK" w:hint="eastAsia"/>
          <w:sz w:val="32"/>
          <w:szCs w:val="32"/>
        </w:rPr>
        <w:t>《天津海关政府信息公开工作规程》的要求，依法处理政府信息公开申请。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楷体_GBK"/>
          <w:b/>
          <w:bCs/>
          <w:spacing w:val="-6"/>
          <w:sz w:val="32"/>
          <w:szCs w:val="32"/>
        </w:rPr>
      </w:pPr>
      <w:r>
        <w:rPr>
          <w:rFonts w:eastAsia="方正楷体_GBK" w:hint="eastAsia"/>
          <w:b/>
          <w:sz w:val="32"/>
          <w:szCs w:val="32"/>
        </w:rPr>
        <w:t>（二）健全信息</w:t>
      </w:r>
      <w:r>
        <w:rPr>
          <w:rFonts w:eastAsia="方正楷体_GBK"/>
          <w:b/>
          <w:bCs/>
          <w:spacing w:val="-6"/>
          <w:sz w:val="32"/>
          <w:szCs w:val="32"/>
        </w:rPr>
        <w:t>公开</w:t>
      </w:r>
      <w:r>
        <w:rPr>
          <w:rFonts w:eastAsia="方正楷体_GBK" w:hint="eastAsia"/>
          <w:b/>
          <w:bCs/>
          <w:spacing w:val="-6"/>
          <w:sz w:val="32"/>
          <w:szCs w:val="32"/>
        </w:rPr>
        <w:t>制度</w:t>
      </w:r>
      <w:r>
        <w:rPr>
          <w:rFonts w:eastAsia="方正楷体_GBK"/>
          <w:b/>
          <w:bCs/>
          <w:spacing w:val="-6"/>
          <w:sz w:val="32"/>
          <w:szCs w:val="32"/>
        </w:rPr>
        <w:t>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临港海关</w:t>
      </w:r>
      <w:r>
        <w:rPr>
          <w:rFonts w:eastAsia="方正仿宋_GBK" w:hint="eastAsia"/>
          <w:sz w:val="32"/>
          <w:szCs w:val="32"/>
        </w:rPr>
        <w:t>建立健全政府信息公开工作制度</w:t>
      </w:r>
      <w:r>
        <w:rPr>
          <w:rFonts w:eastAsia="方正仿宋_GBK"/>
          <w:sz w:val="32"/>
          <w:szCs w:val="32"/>
        </w:rPr>
        <w:t>，</w:t>
      </w:r>
      <w:r>
        <w:rPr>
          <w:rFonts w:eastAsia="方正仿宋_GBK" w:hint="eastAsia"/>
          <w:sz w:val="32"/>
          <w:szCs w:val="32"/>
        </w:rPr>
        <w:t>办公室设置政府信息公开</w:t>
      </w:r>
      <w:r>
        <w:rPr>
          <w:rFonts w:eastAsia="方正仿宋_GBK"/>
          <w:sz w:val="32"/>
          <w:szCs w:val="32"/>
        </w:rPr>
        <w:t>岗位</w:t>
      </w:r>
      <w:r>
        <w:rPr>
          <w:rFonts w:eastAsia="方正仿宋_GBK" w:hint="eastAsia"/>
          <w:sz w:val="32"/>
          <w:szCs w:val="32"/>
        </w:rPr>
        <w:t>，负责组织政府信息公开工作。</w:t>
      </w:r>
      <w:r>
        <w:rPr>
          <w:rFonts w:eastAsia="方正仿宋_GBK"/>
          <w:bCs/>
          <w:spacing w:val="-6"/>
          <w:sz w:val="32"/>
          <w:szCs w:val="32"/>
        </w:rPr>
        <w:t>严格</w:t>
      </w:r>
      <w:r>
        <w:rPr>
          <w:rFonts w:eastAsia="方正仿宋_GBK" w:hint="eastAsia"/>
          <w:bCs/>
          <w:spacing w:val="-6"/>
          <w:sz w:val="32"/>
          <w:szCs w:val="32"/>
        </w:rPr>
        <w:t>执行</w:t>
      </w:r>
      <w:r>
        <w:rPr>
          <w:rFonts w:eastAsia="方正仿宋_GBK"/>
          <w:bCs/>
          <w:spacing w:val="-6"/>
          <w:sz w:val="32"/>
          <w:szCs w:val="32"/>
        </w:rPr>
        <w:t>对外信息发布审核</w:t>
      </w:r>
      <w:r>
        <w:rPr>
          <w:rFonts w:eastAsia="方正仿宋_GBK" w:hint="eastAsia"/>
          <w:bCs/>
          <w:spacing w:val="-6"/>
          <w:sz w:val="32"/>
          <w:szCs w:val="32"/>
        </w:rPr>
        <w:t>制度</w:t>
      </w:r>
      <w:r>
        <w:rPr>
          <w:rFonts w:eastAsia="方正仿宋_GBK"/>
          <w:bCs/>
          <w:spacing w:val="-6"/>
          <w:sz w:val="32"/>
          <w:szCs w:val="32"/>
        </w:rPr>
        <w:t>，对信息发布内容、时间、方式等逐级把关，履行保密审查。</w:t>
      </w:r>
      <w:r>
        <w:rPr>
          <w:rFonts w:eastAsia="方正仿宋_GBK" w:hint="eastAsia"/>
          <w:bCs/>
          <w:spacing w:val="-6"/>
          <w:sz w:val="32"/>
          <w:szCs w:val="32"/>
        </w:rPr>
        <w:t>2025年，临港海关办公地址搬迁，临港海关及时</w:t>
      </w:r>
      <w:r>
        <w:rPr>
          <w:rFonts w:ascii="方正仿宋_GBK" w:eastAsia="方正仿宋_GBK" w:hint="eastAsia"/>
          <w:spacing w:val="-6"/>
          <w:sz w:val="32"/>
          <w:szCs w:val="32"/>
        </w:rPr>
        <w:t>通过天</w:t>
      </w:r>
      <w:r>
        <w:rPr>
          <w:rFonts w:eastAsia="方正仿宋_GBK"/>
          <w:spacing w:val="-6"/>
          <w:sz w:val="32"/>
          <w:szCs w:val="32"/>
        </w:rPr>
        <w:t>津海关12360热线</w:t>
      </w:r>
      <w:r>
        <w:rPr>
          <w:rFonts w:ascii="方正仿宋_GBK" w:eastAsia="方正仿宋_GBK" w:hint="eastAsia"/>
          <w:spacing w:val="-6"/>
          <w:sz w:val="32"/>
          <w:szCs w:val="32"/>
        </w:rPr>
        <w:t>微信公</w:t>
      </w:r>
      <w:r>
        <w:rPr>
          <w:rFonts w:eastAsia="方正仿宋_GBK"/>
          <w:spacing w:val="-6"/>
          <w:sz w:val="32"/>
          <w:szCs w:val="32"/>
        </w:rPr>
        <w:t>众号对外公布</w:t>
      </w:r>
      <w:r>
        <w:rPr>
          <w:rFonts w:eastAsia="方正仿宋_GBK" w:hint="eastAsia"/>
          <w:spacing w:val="-6"/>
          <w:sz w:val="32"/>
          <w:szCs w:val="32"/>
        </w:rPr>
        <w:t>调整后的办公地点、</w:t>
      </w:r>
      <w:r>
        <w:rPr>
          <w:rFonts w:eastAsia="方正仿宋_GBK"/>
          <w:spacing w:val="-6"/>
          <w:sz w:val="32"/>
          <w:szCs w:val="32"/>
        </w:rPr>
        <w:t>科室负责人员姓名、联系电话等公开信息，</w:t>
      </w:r>
      <w:r>
        <w:rPr>
          <w:rFonts w:eastAsia="方正仿宋_GBK" w:hint="eastAsia"/>
          <w:spacing w:val="-6"/>
          <w:sz w:val="32"/>
          <w:szCs w:val="32"/>
        </w:rPr>
        <w:t>为</w:t>
      </w:r>
      <w:r>
        <w:rPr>
          <w:rFonts w:eastAsia="方正仿宋_GBK"/>
          <w:spacing w:val="-6"/>
          <w:sz w:val="32"/>
          <w:szCs w:val="32"/>
        </w:rPr>
        <w:t>社会公众、企业</w:t>
      </w:r>
      <w:r>
        <w:rPr>
          <w:rFonts w:eastAsia="方正仿宋_GBK" w:hint="eastAsia"/>
          <w:spacing w:val="-6"/>
          <w:sz w:val="32"/>
          <w:szCs w:val="32"/>
        </w:rPr>
        <w:t>及时获取准确信息提供有力保障</w:t>
      </w:r>
      <w:r>
        <w:rPr>
          <w:rFonts w:eastAsia="方正仿宋_GBK"/>
          <w:spacing w:val="-6"/>
          <w:sz w:val="32"/>
          <w:szCs w:val="32"/>
        </w:rPr>
        <w:t>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楷体_GBK"/>
          <w:b/>
          <w:sz w:val="32"/>
          <w:szCs w:val="32"/>
        </w:rPr>
      </w:pPr>
      <w:r>
        <w:rPr>
          <w:rFonts w:eastAsia="方正楷体_GBK"/>
          <w:b/>
          <w:sz w:val="32"/>
          <w:szCs w:val="32"/>
        </w:rPr>
        <w:t>（</w:t>
      </w:r>
      <w:r>
        <w:rPr>
          <w:rFonts w:eastAsia="方正楷体_GBK" w:hint="eastAsia"/>
          <w:b/>
          <w:sz w:val="32"/>
          <w:szCs w:val="32"/>
        </w:rPr>
        <w:t>三</w:t>
      </w:r>
      <w:r>
        <w:rPr>
          <w:rFonts w:eastAsia="方正楷体_GBK"/>
          <w:b/>
          <w:sz w:val="32"/>
          <w:szCs w:val="32"/>
        </w:rPr>
        <w:t>）</w:t>
      </w:r>
      <w:r>
        <w:rPr>
          <w:rFonts w:eastAsia="方正楷体_GBK" w:hint="eastAsia"/>
          <w:b/>
          <w:sz w:val="32"/>
          <w:szCs w:val="32"/>
        </w:rPr>
        <w:t>依法依</w:t>
      </w:r>
      <w:r>
        <w:rPr>
          <w:rFonts w:eastAsia="方正楷体_GBK"/>
          <w:b/>
          <w:sz w:val="32"/>
          <w:szCs w:val="32"/>
        </w:rPr>
        <w:t>规规范</w:t>
      </w:r>
      <w:r>
        <w:rPr>
          <w:rFonts w:eastAsia="方正楷体_GBK" w:hint="eastAsia"/>
          <w:b/>
          <w:sz w:val="32"/>
          <w:szCs w:val="32"/>
        </w:rPr>
        <w:t>信息</w:t>
      </w:r>
      <w:r>
        <w:rPr>
          <w:rFonts w:eastAsia="方正楷体_GBK"/>
          <w:b/>
          <w:sz w:val="32"/>
          <w:szCs w:val="32"/>
        </w:rPr>
        <w:t>公开。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 w:hint="eastAsia"/>
          <w:bCs/>
          <w:spacing w:val="-6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临港海关认真学习《天津海关政府信息公开工作规程》，严格落实发文流转、发文审查、领导审批、归档等要求，依法依</w:t>
      </w:r>
      <w:r>
        <w:rPr>
          <w:rFonts w:eastAsia="方正仿宋_GBK"/>
          <w:sz w:val="32"/>
          <w:szCs w:val="32"/>
        </w:rPr>
        <w:t>规</w:t>
      </w:r>
      <w:bookmarkStart w:id="2" w:name="_GoBack"/>
      <w:bookmarkEnd w:id="2"/>
      <w:r>
        <w:rPr>
          <w:rFonts w:eastAsia="方正仿宋_GBK" w:hint="eastAsia"/>
          <w:sz w:val="32"/>
          <w:szCs w:val="32"/>
        </w:rPr>
        <w:t>及时办理公开事项</w:t>
      </w:r>
      <w:r>
        <w:rPr>
          <w:rFonts w:eastAsia="方正仿宋_GBK"/>
          <w:bCs/>
          <w:sz w:val="32"/>
          <w:szCs w:val="32"/>
        </w:rPr>
        <w:t>。</w:t>
      </w:r>
      <w:r>
        <w:rPr>
          <w:rFonts w:eastAsia="方正仿宋_GBK" w:hint="eastAsia"/>
          <w:bCs/>
          <w:sz w:val="32"/>
          <w:szCs w:val="32"/>
        </w:rPr>
        <w:t>专人专岗</w:t>
      </w:r>
      <w:r>
        <w:rPr>
          <w:rFonts w:eastAsia="方正仿宋_GBK"/>
          <w:bCs/>
          <w:sz w:val="32"/>
          <w:szCs w:val="32"/>
        </w:rPr>
        <w:t>负责依海关电子邮箱与公开电话</w:t>
      </w:r>
      <w:r>
        <w:rPr>
          <w:rFonts w:eastAsia="方正仿宋_GBK" w:hint="eastAsia"/>
          <w:bCs/>
          <w:sz w:val="32"/>
          <w:szCs w:val="32"/>
        </w:rPr>
        <w:t>，每日核实是否有公开申请，及时、妥善回应企业群众诉求，坚决杜绝漏办、迟办、超期办理等问题</w:t>
      </w:r>
      <w:r>
        <w:rPr>
          <w:rFonts w:eastAsia="方正仿宋_GBK"/>
          <w:bCs/>
          <w:sz w:val="32"/>
          <w:szCs w:val="32"/>
        </w:rPr>
        <w:t>。</w:t>
      </w:r>
      <w:r>
        <w:rPr>
          <w:rFonts w:eastAsia="方正仿宋_GBK" w:hint="eastAsia"/>
          <w:bCs/>
          <w:sz w:val="32"/>
          <w:szCs w:val="32"/>
        </w:rPr>
        <w:t>强化</w:t>
      </w:r>
      <w:r>
        <w:rPr>
          <w:rFonts w:eastAsia="方正仿宋_GBK"/>
          <w:bCs/>
          <w:sz w:val="32"/>
          <w:szCs w:val="32"/>
        </w:rPr>
        <w:t>业务</w:t>
      </w:r>
      <w:r>
        <w:rPr>
          <w:rFonts w:eastAsia="方正仿宋_GBK" w:hint="eastAsia"/>
          <w:bCs/>
          <w:sz w:val="32"/>
          <w:szCs w:val="32"/>
        </w:rPr>
        <w:t>公开</w:t>
      </w:r>
      <w:r>
        <w:rPr>
          <w:rFonts w:eastAsia="方正仿宋_GBK"/>
          <w:bCs/>
          <w:sz w:val="32"/>
          <w:szCs w:val="32"/>
        </w:rPr>
        <w:t>数据</w:t>
      </w:r>
      <w:r>
        <w:rPr>
          <w:rFonts w:eastAsia="方正仿宋_GBK" w:hint="eastAsia"/>
          <w:bCs/>
          <w:sz w:val="32"/>
          <w:szCs w:val="32"/>
        </w:rPr>
        <w:t>的审核</w:t>
      </w:r>
      <w:r>
        <w:rPr>
          <w:rFonts w:eastAsia="方正仿宋_GBK"/>
          <w:bCs/>
          <w:sz w:val="32"/>
          <w:szCs w:val="32"/>
        </w:rPr>
        <w:t>，</w:t>
      </w:r>
      <w:r>
        <w:rPr>
          <w:rFonts w:eastAsia="方正仿宋_GBK" w:hint="eastAsia"/>
          <w:bCs/>
          <w:sz w:val="32"/>
          <w:szCs w:val="32"/>
        </w:rPr>
        <w:t>切实</w:t>
      </w:r>
      <w:r>
        <w:rPr>
          <w:rFonts w:eastAsia="方正仿宋_GBK"/>
          <w:bCs/>
          <w:sz w:val="32"/>
          <w:szCs w:val="32"/>
        </w:rPr>
        <w:t>履行保密审查，确保公开及时、准确。</w:t>
      </w:r>
    </w:p>
    <w:p>
      <w:pPr>
        <w:spacing w:line="560" w:lineRule="exact"/>
        <w:ind w:firstLineChars="250" w:firstLine="800"/>
        <w:rPr>
          <w:spacing w:val="-6"/>
          <w:kern w:val="0"/>
          <w:szCs w:val="32"/>
        </w:rPr>
      </w:pPr>
      <w:r>
        <w:rPr>
          <w:rFonts w:eastAsia="方正楷体_GBK"/>
          <w:b/>
          <w:kern w:val="0"/>
          <w:szCs w:val="32"/>
        </w:rPr>
        <w:t>（</w:t>
      </w:r>
      <w:r>
        <w:rPr>
          <w:rFonts w:eastAsia="方正楷体_GBK" w:hint="eastAsia"/>
          <w:b/>
          <w:kern w:val="0"/>
          <w:szCs w:val="32"/>
        </w:rPr>
        <w:t>四</w:t>
      </w:r>
      <w:r>
        <w:rPr>
          <w:rFonts w:eastAsia="方正楷体_GBK"/>
          <w:b/>
          <w:kern w:val="0"/>
          <w:szCs w:val="32"/>
        </w:rPr>
        <w:t>）</w:t>
      </w:r>
      <w:r>
        <w:rPr>
          <w:rFonts w:eastAsia="方正楷体_GBK" w:hint="eastAsia"/>
          <w:b/>
          <w:kern w:val="0"/>
          <w:szCs w:val="32"/>
        </w:rPr>
        <w:t>多渠道开展政策解读，回应社会关切</w:t>
      </w:r>
      <w:r>
        <w:rPr>
          <w:rFonts w:eastAsia="方正楷体_GBK"/>
          <w:b/>
          <w:kern w:val="0"/>
          <w:szCs w:val="32"/>
        </w:rPr>
        <w:t>。</w:t>
      </w:r>
    </w:p>
    <w:p>
      <w:pPr>
        <w:spacing w:line="560" w:lineRule="exact"/>
        <w:ind w:firstLineChars="250" w:firstLine="800"/>
        <w:rPr>
          <w:spacing w:val="-6"/>
          <w:kern w:val="0"/>
          <w:szCs w:val="32"/>
        </w:rPr>
      </w:pPr>
      <w:r>
        <w:rPr>
          <w:szCs w:val="32"/>
        </w:rPr>
        <w:t>2025年，临港海关共计在电视、报纸、新媒体等发表新闻报道66篇，</w:t>
      </w:r>
      <w:r>
        <w:rPr>
          <w:spacing w:val="-6"/>
          <w:szCs w:val="32"/>
        </w:rPr>
        <w:t>其</w:t>
      </w:r>
      <w:r>
        <w:rPr>
          <w:rFonts w:ascii="方正仿宋_GBK" w:hint="eastAsia"/>
          <w:spacing w:val="-6"/>
          <w:szCs w:val="32"/>
        </w:rPr>
        <w:t>中《</w:t>
      </w:r>
      <w:r>
        <w:rPr>
          <w:rFonts w:ascii="方正仿宋_GBK" w:hint="eastAsia"/>
          <w:spacing w:val="-6"/>
          <w:szCs w:val="32"/>
        </w:rPr>
        <w:fldChar w:fldCharType="begin"/>
      </w:r>
      <w:r>
        <w:instrText>HYPERLINK "http://tjhg/eportal/ui?pageId=366195&amp;articleKey=901722&amp;columnId=364677" \o "新闻联播 天津临港综合保税区通过正式验收\" \\t \"_blank"</w:instrText>
      </w:r>
      <w:r>
        <w:rPr>
          <w:rFonts w:ascii="方正仿宋_GBK" w:hint="eastAsia"/>
          <w:spacing w:val="-6"/>
          <w:szCs w:val="32"/>
        </w:rPr>
        <w:fldChar w:fldCharType="separate"/>
      </w:r>
      <w:r>
        <w:rPr>
          <w:rFonts w:ascii="方正仿宋_GBK" w:hint="eastAsia"/>
          <w:spacing w:val="-6"/>
          <w:szCs w:val="32"/>
        </w:rPr>
        <w:t>天津临港综合保税区通过正式验收</w:t>
      </w:r>
      <w:r>
        <w:rPr>
          <w:rFonts w:ascii="方正仿宋_GBK" w:hint="eastAsia"/>
          <w:spacing w:val="-6"/>
          <w:szCs w:val="32"/>
        </w:rPr>
        <w:fldChar w:fldCharType="end"/>
      </w:r>
      <w:r>
        <w:rPr>
          <w:rFonts w:ascii="方正仿宋_GBK" w:hint="eastAsia"/>
          <w:spacing w:val="-6"/>
          <w:szCs w:val="32"/>
        </w:rPr>
        <w:t>》在中央电视台一套播出，《</w:t>
      </w:r>
      <w:r>
        <w:rPr>
          <w:rFonts w:ascii="方正仿宋_GBK" w:hint="eastAsia"/>
          <w:spacing w:val="-6"/>
          <w:szCs w:val="32"/>
        </w:rPr>
        <w:fldChar w:fldCharType="begin"/>
      </w:r>
      <w:r>
        <w:instrText>HYPERLINK "http://tjhg/eportal/ui?pageId=366195&amp;articleKey=856367&amp;columnId=364677" \o "中国援建萨尔瓦多国家体育场钢结构物资启运\" \\t \"_blank"</w:instrText>
      </w:r>
      <w:r>
        <w:rPr>
          <w:rFonts w:ascii="方正仿宋_GBK" w:hint="eastAsia"/>
          <w:spacing w:val="-6"/>
          <w:szCs w:val="32"/>
        </w:rPr>
        <w:fldChar w:fldCharType="separate"/>
      </w:r>
      <w:r>
        <w:rPr>
          <w:rFonts w:ascii="方正仿宋_GBK" w:hint="eastAsia"/>
          <w:spacing w:val="-6"/>
          <w:szCs w:val="32"/>
        </w:rPr>
        <w:t>中国援建萨尔瓦多国家体育场钢结构物资启运</w:t>
      </w:r>
      <w:r>
        <w:rPr>
          <w:rFonts w:ascii="方正仿宋_GBK" w:hint="eastAsia"/>
          <w:spacing w:val="-6"/>
          <w:szCs w:val="32"/>
        </w:rPr>
        <w:fldChar w:fldCharType="end"/>
      </w:r>
      <w:r>
        <w:rPr>
          <w:rFonts w:ascii="方正仿宋_GBK" w:hint="eastAsia"/>
          <w:spacing w:val="-6"/>
          <w:szCs w:val="32"/>
        </w:rPr>
        <w:t>》在中央电视台新闻频道播出。《</w:t>
      </w:r>
      <w:r>
        <w:rPr>
          <w:rFonts w:ascii="方正仿宋_GBK" w:hint="eastAsia"/>
          <w:spacing w:val="-6"/>
          <w:szCs w:val="32"/>
        </w:rPr>
        <w:fldChar w:fldCharType="begin"/>
      </w:r>
      <w:r>
        <w:instrText>HYPERLINK "http://tjhg/eportal/ui?pageId=366195&amp;articleKey=851266&amp;columnId=364677" \o "民营企业博迈科：敢闯敢试 打造海洋装备核心竞争力\" \\t \"_blank"</w:instrText>
      </w:r>
      <w:r>
        <w:rPr>
          <w:rFonts w:ascii="方正仿宋_GBK" w:hint="eastAsia"/>
          <w:spacing w:val="-6"/>
          <w:szCs w:val="32"/>
        </w:rPr>
        <w:fldChar w:fldCharType="separate"/>
      </w:r>
      <w:r>
        <w:rPr>
          <w:rFonts w:ascii="方正仿宋_GBK" w:hint="eastAsia"/>
          <w:spacing w:val="-6"/>
          <w:szCs w:val="32"/>
        </w:rPr>
        <w:t>民营企业博迈科：敢闯敢试 打造海洋装备核心竞争力</w:t>
      </w:r>
      <w:r>
        <w:rPr>
          <w:rFonts w:ascii="方正仿宋_GBK" w:hint="eastAsia"/>
          <w:spacing w:val="-6"/>
          <w:szCs w:val="32"/>
        </w:rPr>
        <w:fldChar w:fldCharType="end"/>
      </w:r>
      <w:r>
        <w:rPr>
          <w:rFonts w:ascii="方正仿宋_GBK" w:hint="eastAsia"/>
          <w:spacing w:val="-6"/>
          <w:szCs w:val="32"/>
        </w:rPr>
        <w:t>》《</w:t>
      </w:r>
      <w:r>
        <w:rPr>
          <w:rFonts w:hint="eastAsia"/>
          <w:spacing w:val="-6"/>
          <w:szCs w:val="32"/>
        </w:rPr>
        <w:fldChar w:fldCharType="begin"/>
      </w:r>
      <w:r>
        <w:instrText>HYPERLINK "http://tjhg/eportal/ui?pageId=366195&amp;articleKey=888501&amp;columnId=364677" \o "1.4万吨钾肥抵津 助力\\\\\\\\\\\“三夏\\\\\\\\\\\”生产\" \\t \"_blank"</w:instrText>
      </w:r>
      <w:r>
        <w:rPr>
          <w:rFonts w:hint="eastAsia"/>
          <w:spacing w:val="-6"/>
          <w:szCs w:val="32"/>
        </w:rPr>
        <w:fldChar w:fldCharType="separate"/>
      </w:r>
      <w:r>
        <w:rPr>
          <w:rFonts w:hint="eastAsia"/>
          <w:spacing w:val="-6"/>
          <w:szCs w:val="32"/>
        </w:rPr>
        <w:t>1.4万</w:t>
      </w:r>
      <w:r>
        <w:rPr>
          <w:rFonts w:ascii="方正仿宋_GBK" w:hint="eastAsia"/>
          <w:spacing w:val="-6"/>
          <w:szCs w:val="32"/>
        </w:rPr>
        <w:t>吨钾肥抵津 助力“三夏”生产</w:t>
      </w:r>
      <w:r>
        <w:rPr>
          <w:rFonts w:hint="eastAsia"/>
          <w:spacing w:val="-6"/>
          <w:szCs w:val="32"/>
        </w:rPr>
        <w:fldChar w:fldCharType="end"/>
      </w:r>
      <w:r>
        <w:rPr>
          <w:rFonts w:ascii="方正仿宋_GBK" w:hint="eastAsia"/>
          <w:spacing w:val="-6"/>
          <w:szCs w:val="32"/>
        </w:rPr>
        <w:t>》等新闻在天津电视台播出，让社会公众深入了解海关工作。《茶香密码：茶类归类全解析》等政策解读稿件在天津海</w:t>
      </w:r>
      <w:r>
        <w:rPr>
          <w:spacing w:val="-6"/>
          <w:szCs w:val="32"/>
        </w:rPr>
        <w:t>关12360热线</w:t>
      </w:r>
      <w:r>
        <w:rPr>
          <w:rFonts w:ascii="方正仿宋_GBK" w:hint="eastAsia"/>
          <w:szCs w:val="32"/>
        </w:rPr>
        <w:t>微信公众号刊发</w:t>
      </w:r>
      <w:r>
        <w:rPr>
          <w:rFonts w:ascii="方正仿宋_GBK" w:hint="eastAsia"/>
          <w:spacing w:val="-6"/>
          <w:szCs w:val="32"/>
        </w:rPr>
        <w:t>。</w:t>
      </w:r>
    </w:p>
    <w:p>
      <w:pPr>
        <w:pStyle w:val="46"/>
        <w:adjustRightInd w:val="0"/>
        <w:snapToGrid w:val="0"/>
        <w:ind w:firstLineChars="200" w:firstLine="624"/>
        <w:rPr>
          <w:rFonts w:eastAsia="方正黑体_GBK"/>
          <w:bCs/>
          <w:szCs w:val="32"/>
          <w:shd w:val="clear" w:color="auto" w:fill="FFFFFF"/>
        </w:rPr>
      </w:pPr>
      <w:r>
        <w:rPr>
          <w:rFonts w:eastAsia="方正黑体_GBK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7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237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</w:pPr>
            <w:r>
              <w:rPr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41"/>
              <w:widowControl/>
              <w:spacing w:line="560" w:lineRule="exact"/>
              <w:rPr>
                <w:rFonts w:eastAsia="楷体"/>
                <w:kern w:val="0"/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41"/>
              <w:widowControl/>
              <w:spacing w:line="560" w:lineRule="exact"/>
              <w:rPr>
                <w:rFonts w:eastAsia="楷体"/>
                <w:kern w:val="0"/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41"/>
              <w:widowControl/>
              <w:spacing w:line="560" w:lineRule="exact"/>
              <w:rPr>
                <w:rFonts w:eastAsia="楷体"/>
                <w:kern w:val="0"/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41"/>
              <w:widowControl/>
              <w:spacing w:line="560" w:lineRule="exact"/>
              <w:rPr>
                <w:rFonts w:eastAsia="楷体"/>
                <w:kern w:val="0"/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left"/>
            </w:pPr>
            <w:r>
              <w:rPr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szCs w:val="24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21"/>
        <w:tabs>
          <w:tab w:val="center" w:pos="4153"/>
          <w:tab w:val="right" w:pos="8306"/>
        </w:tabs>
        <w:spacing w:line="560" w:lineRule="exact"/>
        <w:ind w:firstLine="643"/>
        <w:rPr>
          <w:rFonts w:eastAsia="方正楷体_GBK" w:hint="eastAsia"/>
          <w:b/>
          <w:bCs/>
          <w:sz w:val="32"/>
        </w:rPr>
      </w:pPr>
      <w:r>
        <w:rPr>
          <w:rFonts w:eastAsia="方正楷体_GBK"/>
          <w:b/>
          <w:bCs/>
          <w:sz w:val="32"/>
        </w:rPr>
        <w:t>（一）202</w:t>
      </w:r>
      <w:r>
        <w:rPr>
          <w:rFonts w:eastAsia="方正楷体_GBK" w:hint="eastAsia"/>
          <w:b/>
          <w:bCs/>
          <w:sz w:val="32"/>
        </w:rPr>
        <w:t>4</w:t>
      </w:r>
      <w:r>
        <w:rPr>
          <w:rFonts w:eastAsia="方正楷体_GBK"/>
          <w:b/>
          <w:bCs/>
          <w:sz w:val="32"/>
        </w:rPr>
        <w:t>年报中所提问题整改情况。</w:t>
      </w:r>
    </w:p>
    <w:p>
      <w:pPr>
        <w:pStyle w:val="21"/>
        <w:tabs>
          <w:tab w:val="center" w:pos="4153"/>
          <w:tab w:val="right" w:pos="8306"/>
        </w:tabs>
        <w:spacing w:line="560" w:lineRule="exact"/>
        <w:ind w:firstLine="643"/>
        <w:rPr>
          <w:sz w:val="32"/>
          <w:szCs w:val="32"/>
        </w:rPr>
      </w:pPr>
      <w:r>
        <w:rPr>
          <w:bCs/>
          <w:sz w:val="32"/>
        </w:rPr>
        <w:t>202</w:t>
      </w:r>
      <w:r>
        <w:rPr>
          <w:rFonts w:hint="eastAsia"/>
          <w:bCs/>
          <w:sz w:val="32"/>
        </w:rPr>
        <w:t>4</w:t>
      </w:r>
      <w:r>
        <w:rPr>
          <w:bCs/>
          <w:sz w:val="32"/>
        </w:rPr>
        <w:t>年报存在问题为：</w:t>
      </w:r>
      <w:r>
        <w:rPr>
          <w:bCs/>
          <w:snapToGrid w:val="0"/>
          <w:sz w:val="32"/>
          <w:szCs w:val="32"/>
          <w:lang w:val="zh-CN"/>
        </w:rPr>
        <w:t>政务公开队伍薄弱，政治素质、业务能力有待提升，政务公开人员对辖区外贸情况不熟悉，处理复杂问题，及时回应企业、社会公众能力有待加强。</w:t>
      </w:r>
      <w:r>
        <w:rPr>
          <w:rFonts w:hint="eastAsia"/>
          <w:bCs/>
          <w:snapToGrid w:val="0"/>
          <w:sz w:val="32"/>
          <w:szCs w:val="32"/>
          <w:lang w:val="zh-CN"/>
        </w:rPr>
        <w:t>整改情况：</w:t>
      </w:r>
      <w:r>
        <w:rPr>
          <w:sz w:val="32"/>
        </w:rPr>
        <w:t>临港海关</w:t>
      </w:r>
      <w:r>
        <w:rPr>
          <w:rFonts w:hint="eastAsia"/>
          <w:sz w:val="32"/>
        </w:rPr>
        <w:t>加强</w:t>
      </w:r>
      <w:r>
        <w:rPr>
          <w:bCs/>
          <w:snapToGrid w:val="0"/>
          <w:sz w:val="32"/>
          <w:szCs w:val="32"/>
          <w:lang w:val="zh-CN"/>
        </w:rPr>
        <w:t>政务公开队伍</w:t>
      </w:r>
      <w:r>
        <w:rPr>
          <w:rFonts w:hint="eastAsia"/>
          <w:bCs/>
          <w:snapToGrid w:val="0"/>
          <w:sz w:val="32"/>
          <w:szCs w:val="32"/>
          <w:lang w:val="zh-CN"/>
        </w:rPr>
        <w:t>建设，选派政治素质高的人员负责</w:t>
      </w:r>
      <w:r>
        <w:rPr>
          <w:bCs/>
          <w:snapToGrid w:val="0"/>
          <w:sz w:val="32"/>
          <w:szCs w:val="32"/>
          <w:lang w:val="zh-CN"/>
        </w:rPr>
        <w:t>政务公开</w:t>
      </w:r>
      <w:r>
        <w:rPr>
          <w:rFonts w:hint="eastAsia"/>
          <w:bCs/>
          <w:snapToGrid w:val="0"/>
          <w:sz w:val="32"/>
          <w:szCs w:val="32"/>
          <w:lang w:val="zh-CN"/>
        </w:rPr>
        <w:t>工作，</w:t>
      </w:r>
      <w:r>
        <w:rPr>
          <w:rFonts w:hint="eastAsia"/>
          <w:sz w:val="32"/>
        </w:rPr>
        <w:t>组织相关工作人员认真学习《海关基层政务公开指导手册》，利用</w:t>
      </w:r>
      <w:r>
        <w:rPr>
          <w:sz w:val="32"/>
        </w:rPr>
        <w:t>每周</w:t>
      </w:r>
      <w:r>
        <w:rPr>
          <w:rFonts w:hint="eastAsia"/>
          <w:sz w:val="32"/>
        </w:rPr>
        <w:t>固定时间</w:t>
      </w:r>
      <w:r>
        <w:rPr>
          <w:sz w:val="32"/>
        </w:rPr>
        <w:t>学习业务文件，</w:t>
      </w:r>
      <w:r>
        <w:rPr>
          <w:sz w:val="32"/>
          <w:szCs w:val="32"/>
        </w:rPr>
        <w:t>提高政务公开队伍的解答能力。</w:t>
      </w:r>
    </w:p>
    <w:p>
      <w:pPr>
        <w:pStyle w:val="21"/>
        <w:tabs>
          <w:tab w:val="center" w:pos="4153"/>
          <w:tab w:val="right" w:pos="8306"/>
        </w:tabs>
        <w:spacing w:line="560" w:lineRule="exact"/>
        <w:ind w:firstLine="643"/>
      </w:pPr>
      <w:r>
        <w:rPr>
          <w:rFonts w:eastAsia="方正楷体_GBK"/>
          <w:b/>
          <w:bCs/>
          <w:sz w:val="32"/>
          <w:szCs w:val="32"/>
        </w:rPr>
        <w:t>（二）目前存在问题。</w:t>
      </w:r>
    </w:p>
    <w:p>
      <w:pPr>
        <w:pStyle w:val="21"/>
        <w:tabs>
          <w:tab w:val="center" w:pos="4153"/>
          <w:tab w:val="right" w:pos="8306"/>
        </w:tabs>
        <w:spacing w:line="560" w:lineRule="exact"/>
        <w:ind w:firstLine="643"/>
        <w:rPr>
          <w:rFonts w:eastAsia="方正楷体_GBK"/>
          <w:b/>
          <w:bCs/>
          <w:sz w:val="32"/>
          <w:szCs w:val="32"/>
        </w:rPr>
      </w:pPr>
      <w:r>
        <w:rPr>
          <w:bCs/>
          <w:snapToGrid w:val="0"/>
          <w:sz w:val="32"/>
          <w:szCs w:val="32"/>
          <w:lang w:val="zh-CN"/>
        </w:rPr>
        <w:t>存在的主要问题是</w:t>
      </w:r>
      <w:r>
        <w:rPr>
          <w:rFonts w:hint="eastAsia"/>
          <w:bCs/>
          <w:snapToGrid w:val="0"/>
          <w:sz w:val="32"/>
          <w:szCs w:val="32"/>
          <w:lang w:val="zh-CN"/>
        </w:rPr>
        <w:t>政策解读参与度有待提高，通过新闻、12360等形式发布的政策解读较少</w:t>
      </w:r>
      <w:r>
        <w:rPr>
          <w:bCs/>
          <w:snapToGrid w:val="0"/>
          <w:sz w:val="32"/>
          <w:szCs w:val="32"/>
          <w:lang w:val="zh-CN"/>
        </w:rPr>
        <w:t>。</w:t>
      </w:r>
      <w:r>
        <w:rPr>
          <w:kern w:val="0"/>
          <w:sz w:val="32"/>
          <w:szCs w:val="32"/>
        </w:rPr>
        <w:t xml:space="preserve"> </w:t>
      </w:r>
    </w:p>
    <w:p>
      <w:pPr>
        <w:pStyle w:val="26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/>
          <w:bCs/>
          <w:sz w:val="32"/>
          <w:szCs w:val="32"/>
          <w:shd w:val="clear" w:color="auto" w:fill="FFFFFF"/>
        </w:rPr>
      </w:pPr>
      <w:r>
        <w:rPr>
          <w:rFonts w:eastAsia="方正黑体_GBK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47"/>
        <w:adjustRightInd w:val="0"/>
        <w:snapToGrid w:val="0"/>
        <w:ind w:firstLineChars="200" w:firstLine="624"/>
      </w:pPr>
      <w:r>
        <w:t>无</w:t>
      </w:r>
      <w:r>
        <w:rPr>
          <w:szCs w:val="32"/>
        </w:rPr>
        <w:t>。</w:t>
      </w:r>
    </w:p>
    <w:p>
      <w:pPr>
        <w:pStyle w:val="53"/>
        <w:adjustRightInd w:val="0"/>
        <w:snapToGrid w:val="0"/>
        <w:ind w:firstLineChars="200" w:firstLine="624"/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微软雅黑">
    <w:altName w:val="华文细黑"/>
    <w:panose1 w:val="020B0503020204020204"/>
    <w:charset w:val="86"/>
    <w:family w:val="roman"/>
    <w:pitch w:val="variable"/>
    <w:sig w:usb0="80000287" w:usb1="280F3C52" w:usb2="00000016" w:usb3="00000000" w:csb0="0004001F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28"/>
      </w:rPr>
      <w:fldChar w:fldCharType="begin"/>
    </w:r>
    <w:r>
      <w:rPr>
        <w:rStyle w:val="28"/>
      </w:rPr>
      <w:instrText>Page</w:instrText>
    </w:r>
    <w:r>
      <w:rPr>
        <w:rStyle w:val="28"/>
      </w:rPr>
      <w:fldChar w:fldCharType="separate"/>
    </w:r>
    <w:r>
      <w:rPr>
        <w:rStyle w:val="28"/>
      </w:rPr>
      <w:t>- 7 -</w:t>
    </w:r>
    <w:r>
      <w:rPr>
        <w:rStyle w:val="28"/>
      </w:rP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28"/>
      </w:rPr>
      <w:fldChar w:fldCharType="begin"/>
    </w:r>
    <w:r>
      <w:rPr>
        <w:rStyle w:val="28"/>
      </w:rPr>
      <w:instrText>Page</w:instrText>
    </w:r>
    <w:r>
      <w:rPr>
        <w:rStyle w:val="28"/>
      </w:rPr>
      <w:fldChar w:fldCharType="separate"/>
    </w:r>
    <w:r>
      <w:rPr>
        <w:rStyle w:val="28"/>
      </w:rPr>
      <w:t>- 6 -</w:t>
    </w:r>
    <w:r>
      <w:rPr>
        <w:rStyle w:val="28"/>
      </w:rP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5445D88"/>
    <w:multiLevelType w:val="singleLevel"/>
    <w:tmpl w:val="B358B313"/>
    <w:lvl w:ilvl="0">
      <w:start w:val="1"/>
      <w:numFmt w:val="decimal"/>
      <w:lvlRestart w:val="0"/>
      <w:pStyle w:val="15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2"/>
  <w:doNotDisplayPageBoundarie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pPr>
      <w:widowControl/>
      <w:jc w:val="left"/>
      <w:outlineLvl w:val="1"/>
    </w:pPr>
    <w:rPr>
      <w:rFonts w:ascii="微软雅黑" w:eastAsia="宋体" w:cs="宋体" w:hAnsi="微软雅黑"/>
      <w:b/>
      <w:bCs/>
      <w:color w:val="333333"/>
      <w:kern w:val="0"/>
      <w:sz w:val="21"/>
      <w:szCs w:val="21"/>
      <w:lang w:bidi="ar-SA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Number 2"/>
    <w:basedOn w:val="0"/>
    <w:pPr>
      <w:numPr>
        <w:ilvl w:val="0"/>
        <w:numId w:val="1"/>
      </w:numPr>
    </w:pPr>
  </w:style>
  <w:style w:type="paragraph" w:styleId="16">
    <w:name w:val="index 8"/>
    <w:basedOn w:val="0"/>
    <w:next w:val="0"/>
    <w:pPr>
      <w:ind w:left="2940"/>
    </w:pPr>
  </w:style>
  <w:style w:type="paragraph" w:styleId="17">
    <w:name w:val="index 5"/>
    <w:basedOn w:val="0"/>
    <w:next w:val="0"/>
    <w:pPr>
      <w:ind w:left="1680"/>
    </w:pPr>
  </w:style>
  <w:style w:type="paragraph" w:styleId="18">
    <w:name w:val="annotation text"/>
    <w:basedOn w:val="0"/>
    <w:pPr>
      <w:jc w:val="left"/>
    </w:pPr>
  </w:style>
  <w:style w:type="paragraph" w:styleId="19">
    <w:name w:val="index 6"/>
    <w:basedOn w:val="0"/>
    <w:next w:val="0"/>
    <w:pPr>
      <w:ind w:left="210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0"/>
    <w:next w:val="0"/>
  </w:style>
  <w:style w:type="paragraph" w:styleId="24">
    <w:name w:val="index 7"/>
    <w:basedOn w:val="0"/>
    <w:next w:val="0"/>
    <w:pPr>
      <w:ind w:left="2520"/>
    </w:pPr>
  </w:style>
  <w:style w:type="paragraph" w:styleId="25">
    <w:name w:val="toc 2"/>
    <w:basedOn w:val="0"/>
    <w:next w:val="0"/>
    <w:pPr>
      <w:ind w:left="420"/>
    </w:pPr>
  </w:style>
  <w:style w:type="paragraph" w:styleId="26">
    <w:name w:val="Normal (Web)"/>
    <w:next w:val="21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styleId="27">
    <w:name w:val="annotation subject"/>
    <w:basedOn w:val="18"/>
    <w:next w:val="18"/>
    <w:rPr>
      <w:b/>
      <w:bCs/>
    </w:rPr>
  </w:style>
  <w:style w:type="character" w:styleId="28">
    <w:name w:val="page number"/>
    <w:basedOn w:val="10"/>
  </w:style>
  <w:style w:type="character" w:styleId="29">
    <w:name w:val="FollowedHyperlink"/>
    <w:basedOn w:val="10"/>
    <w:rPr>
      <w:color w:val="800080"/>
      <w:u w:val="single"/>
    </w:rPr>
  </w:style>
  <w:style w:type="character" w:styleId="30">
    <w:name w:val="Hyperlink"/>
    <w:basedOn w:val="10"/>
    <w:rPr>
      <w:color w:val="0000FF"/>
      <w:u w:val="single"/>
    </w:rPr>
  </w:style>
  <w:style w:type="character" w:styleId="31">
    <w:name w:val="annotation reference"/>
    <w:basedOn w:val="10"/>
    <w:rPr>
      <w:sz w:val="21"/>
      <w:szCs w:val="21"/>
    </w:rPr>
  </w:style>
  <w:style w:type="paragraph" w:customStyle="1" w:styleId="32">
    <w:name w:val="样式 三号"/>
    <w:next w:val="3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3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4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5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6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正文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正文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0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1">
    <w:name w:val="样式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">
    <w:name w:val="样式 1 小四"/>
    <w:next w:val="38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3">
    <w:name w:val="样式 6 小四"/>
    <w:next w:val="3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4">
    <w:name w:val="样式 20 小四"/>
    <w:next w:val="1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5">
    <w:name w:val="样式 12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6">
    <w:name w:val="样式 50 三号"/>
    <w:next w:val="1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7">
    <w:name w:val="样式 13 三号"/>
    <w:next w:val="2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8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9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0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1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2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53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4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5">
    <w:name w:val="样式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56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1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62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3">
    <w:name w:val="样式 3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64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11 磅"/>
    <w:next w:val="0"/>
    <w:pPr>
      <w:spacing w:after="200" w:line="276" w:lineRule="auto"/>
    </w:pPr>
    <w:rPr>
      <w:rFonts w:ascii="Calibri" w:eastAsia="宋体" w:cs="Arial" w:hAnsi="Calibri"/>
      <w:sz w:val="22"/>
      <w:szCs w:val="22"/>
      <w:lang w:val="en-US" w:eastAsia="zh-CN" w:bidi="ar-SA"/>
    </w:rPr>
  </w:style>
  <w:style w:type="paragraph" w:customStyle="1" w:styleId="81">
    <w:name w:val="样式 4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82">
    <w:name w:val="样式 5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83">
    <w:name w:val="样式 7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84">
    <w:name w:val="样式 8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85">
    <w:name w:val="样式 9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86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7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8">
    <w:name w:val="样式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89">
    <w:name w:val="样式 1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0">
    <w:name w:val="样式 11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91">
    <w:name w:val="样式 1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92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</Application>
  <Pages>7</Pages>
  <Words>2047</Words>
  <Characters>2105</Characters>
  <Lines>418</Lines>
  <Paragraphs>309</Paragraphs>
  <CharactersWithSpaces>2108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苗鑫</cp:lastModifiedBy>
  <cp:revision>7</cp:revision>
  <cp:lastPrinted>2020-01-22T00:43:00Z</cp:lastPrinted>
  <dcterms:created xsi:type="dcterms:W3CDTF">2026-01-21T09:03:00Z</dcterms:created>
  <dcterms:modified xsi:type="dcterms:W3CDTF">2026-04-07T07:25:22Z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eyJoZGlkIjoiYzk2MDI5ZjA4MzQ4ZDQ0MTE4ZTQ3YzhlOTc1MDMyMGEifQ==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8DF24671EC22485B82279159901DCC39_13</vt:lpwstr>
  </property>
</Properties>
</file>