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49"/>
        <w:spacing w:line="580" w:lineRule="exact"/>
        <w:jc w:val="center"/>
        <w:rPr>
          <w:rFonts w:ascii="方正小标宋_GBK" w:eastAsia="方正小标宋_GBK" w:cs="方正小标宋_GBK" w:hint="eastAsia"/>
          <w:sz w:val="44"/>
          <w:szCs w:val="44"/>
          <w:lang w:bidi="ar-SA"/>
        </w:rPr>
      </w:pPr>
      <w:bookmarkStart w:id="0" w:name="_Hlk25540369"/>
      <w:bookmarkStart w:id="1" w:name="cogw__正文__file"/>
      <w:r>
        <w:rPr>
          <w:rFonts w:ascii="方正小标宋_GBK" w:eastAsia="方正小标宋_GBK" w:cs="方正小标宋_GBK" w:hint="eastAsia"/>
          <w:sz w:val="44"/>
          <w:szCs w:val="44"/>
          <w:lang w:bidi="ar-SA"/>
        </w:rPr>
        <w:t>天津南疆海关2025年政府信息公开工作</w:t>
      </w:r>
    </w:p>
    <w:p>
      <w:pPr>
        <w:pStyle w:val="49"/>
        <w:spacing w:line="580" w:lineRule="exact"/>
        <w:jc w:val="center"/>
        <w:rPr>
          <w:rFonts w:ascii="方正小标宋_GBK" w:eastAsia="方正小标宋_GBK" w:cs="方正小标宋_GBK" w:hint="eastAsia"/>
          <w:sz w:val="44"/>
          <w:szCs w:val="44"/>
          <w:lang w:bidi="ar-SA"/>
        </w:rPr>
      </w:pPr>
      <w:r>
        <w:rPr>
          <w:rFonts w:ascii="方正小标宋_GBK" w:eastAsia="方正小标宋_GBK" w:cs="方正小标宋_GBK" w:hint="eastAsia"/>
          <w:sz w:val="44"/>
          <w:szCs w:val="44"/>
          <w:lang w:bidi="ar-SA"/>
        </w:rPr>
        <w:t>年度报告</w:t>
      </w:r>
      <w:bookmarkEnd w:id="0"/>
    </w:p>
    <w:p>
      <w:pPr>
        <w:pStyle w:val="26"/>
        <w:widowControl/>
        <w:shd w:val="clear" w:color="auto" w:fill="FFFFFF"/>
        <w:adjustRightInd w:val="0"/>
        <w:snapToGrid w:val="0"/>
        <w:spacing w:beforeAutospacing="0" w:afterAutospacing="0" w:line="560" w:lineRule="exact"/>
        <w:jc w:val="both"/>
        <w:rPr>
          <w:rFonts w:ascii="楷体_GB2312" w:eastAsia="楷体_GB2312" w:cs="楷体_GB2312" w:hint="eastAsia"/>
          <w:bCs/>
          <w:sz w:val="32"/>
          <w:szCs w:val="32"/>
          <w:shd w:val="clear" w:color="auto" w:fill="FFFFFF"/>
          <w:lang w:bidi="ar-SA"/>
        </w:rPr>
      </w:pPr>
    </w:p>
    <w:p>
      <w:pPr>
        <w:pStyle w:val="26"/>
        <w:widowControl/>
        <w:shd w:val="clear" w:color="auto" w:fill="FFFFFF"/>
        <w:adjustRightInd w:val="0"/>
        <w:snapToGrid w:val="0"/>
        <w:spacing w:beforeAutospacing="0" w:afterAutospacing="0" w:line="560" w:lineRule="exact"/>
        <w:ind w:firstLineChars="200" w:firstLine="640"/>
        <w:jc w:val="both"/>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一、总体情况</w:t>
      </w:r>
    </w:p>
    <w:p>
      <w:pPr>
        <w:spacing w:line="560" w:lineRule="exact"/>
        <w:ind w:firstLineChars="200" w:firstLine="640"/>
      </w:pPr>
      <w:r>
        <w:t>2025年，天津南疆海关始终坚持以习近平新时代中国特色社会主义思想为指导，全面贯彻落实党的二十大和二十届历次全会精神，深入学习贯彻习近平总书记重要指示批示</w:t>
      </w:r>
      <w:r>
        <w:rPr>
          <w:rFonts w:hint="eastAsia"/>
          <w:lang w:eastAsia="zh-CN"/>
        </w:rPr>
        <w:t>精神</w:t>
      </w:r>
      <w:r>
        <w:t>和给红其拉甫海关全体关员重要回信精神，按照《中华人民共和国政府信息公开条例》及海关总署、天津海关关于全面推进政务公开工作的决策部署要求，坚持</w:t>
      </w:r>
      <w:r>
        <w:rPr>
          <w:rFonts w:hint="eastAsia"/>
        </w:rPr>
        <w:t>“</w:t>
      </w:r>
      <w:r>
        <w:t>讲政治、激活力、干实事、守底线</w:t>
      </w:r>
      <w:r>
        <w:rPr>
          <w:rFonts w:hint="eastAsia"/>
        </w:rPr>
        <w:t>”</w:t>
      </w:r>
      <w:r>
        <w:t>工作理念，积极回应企业群众诉求，不断提升政府信息公开工作质效。</w:t>
      </w:r>
    </w:p>
    <w:p>
      <w:pPr>
        <w:spacing w:line="560" w:lineRule="exact"/>
        <w:ind w:firstLineChars="200" w:firstLine="640"/>
      </w:pPr>
      <w:r>
        <w:rPr>
          <w:b/>
          <w:bCs/>
        </w:rPr>
        <w:t>一是持续推动工作机制常态长效落实。</w:t>
      </w:r>
      <w:r>
        <w:t>健全完善领导机制，由办公室牵头协调，各科室协同落实，明确责任分工，做到</w:t>
      </w:r>
      <w:r>
        <w:rPr>
          <w:rFonts w:hint="eastAsia"/>
        </w:rPr>
        <w:t>“</w:t>
      </w:r>
      <w:r>
        <w:t>一级抓一级，层层有落实</w:t>
      </w:r>
      <w:r>
        <w:rPr>
          <w:rFonts w:hint="eastAsia"/>
        </w:rPr>
        <w:t>”</w:t>
      </w:r>
      <w:r>
        <w:t>。每季度更新基层政务公开标准目录、政府信息公开指南等5项内容。全年举办关长接待日12次。强化信息发布审核制度，建立公开信息台账，确保政务信息发布规范、及时、准确。</w:t>
      </w:r>
    </w:p>
    <w:p>
      <w:pPr>
        <w:spacing w:line="560" w:lineRule="exact"/>
        <w:ind w:firstLineChars="200" w:firstLine="640"/>
      </w:pPr>
      <w:r>
        <w:rPr>
          <w:b/>
          <w:bCs/>
        </w:rPr>
        <w:t>二是持续丰富政务公开形式。</w:t>
      </w:r>
      <w:r>
        <w:t>坚持解读材料与政策性文件同频共振，聚焦与企业、群众联系最密切的重点领域和咨询量较多的高频事项，加大公开力度。围绕</w:t>
      </w:r>
      <w:r>
        <w:rPr>
          <w:rFonts w:hint="eastAsia"/>
        </w:rPr>
        <w:t>“</w:t>
      </w:r>
      <w:r>
        <w:t>津关24条（2025版）</w:t>
      </w:r>
      <w:r>
        <w:rPr>
          <w:rFonts w:hint="eastAsia"/>
        </w:rPr>
        <w:t>”</w:t>
      </w:r>
      <w:r>
        <w:t>等稳外贸政策，通过</w:t>
      </w:r>
      <w:r>
        <w:rPr>
          <w:rFonts w:hint="eastAsia"/>
        </w:rPr>
        <w:t>“</w:t>
      </w:r>
      <w:r>
        <w:t>关长送政策上门</w:t>
      </w:r>
      <w:r>
        <w:rPr>
          <w:rFonts w:hint="eastAsia"/>
        </w:rPr>
        <w:t>”</w:t>
      </w:r>
      <w:r>
        <w:t>等方式为企业解疑释惑，开展宣讲47次，惠及50多家企业。利用天津海关门户网站，在</w:t>
      </w:r>
      <w:r>
        <w:rPr>
          <w:rFonts w:hint="eastAsia"/>
          <w:lang w:eastAsia="zh-CN"/>
        </w:rPr>
        <w:t>《</w:t>
      </w:r>
      <w:r>
        <w:t>国境卫生检疫</w:t>
      </w:r>
      <w:r>
        <w:rPr>
          <w:rFonts w:hint="eastAsia"/>
          <w:lang w:eastAsia="zh-CN"/>
        </w:rPr>
        <w:t>》</w:t>
      </w:r>
      <w:r>
        <w:t>专题专栏更新科普、新闻报道8篇。联合天津海关卫检处、商检处等部门，在天津海关12360热线微信公众号发布稿件18篇。依托南疆口岸政务服务联盟，与海事、边检等单位开展联合查验、政策宣贯等活动，累计服务3000余艘次国际航行船舶快速通行口岸。</w:t>
      </w:r>
    </w:p>
    <w:p>
      <w:pPr>
        <w:spacing w:line="560" w:lineRule="exact"/>
        <w:ind w:firstLineChars="200" w:firstLine="640"/>
      </w:pPr>
      <w:r>
        <w:rPr>
          <w:b/>
          <w:bCs/>
        </w:rPr>
        <w:t>三是持续加强监督保障力度。</w:t>
      </w:r>
      <w:r>
        <w:t>强化日常督导检查，做好依申请公开测评和业务咨询测评工作，按照标准流程回复申请事项。拓宽社会监督渠道，公开信访电话、互联网信箱等监督举报方式，对反馈问题快速核查处置。建立服务台账，找准企业诉求，针对性解决企业困难12个。</w:t>
      </w:r>
    </w:p>
    <w:p>
      <w:pPr>
        <w:pStyle w:val="43"/>
        <w:adjustRightInd w:val="0"/>
        <w:snapToGrid w:val="0"/>
        <w:spacing w:beforeLines="50" w:before="218" w:afterLines="50" w:after="218"/>
        <w:ind w:firstLineChars="200" w:firstLine="624"/>
        <w:rPr>
          <w:rFonts w:eastAsia="方正黑体_GBK" w:cs="楷体_GB2312" w:hint="eastAsia"/>
          <w:bCs/>
          <w:szCs w:val="32"/>
          <w:shd w:val="clear" w:color="auto" w:fill="FFFFFF"/>
          <w:lang w:bidi="ar-SA"/>
        </w:rPr>
      </w:pPr>
      <w:r>
        <w:rPr>
          <w:rFonts w:eastAsia="方正黑体_GBK" w:cs="楷体_GB2312" w:hint="eastAsia"/>
          <w:bCs/>
          <w:szCs w:val="32"/>
          <w:shd w:val="clear" w:color="auto" w:fill="FFFFFF"/>
          <w:lang w:bidi="ar-SA"/>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38"/>
              <w:widowControl/>
              <w:jc w:val="center"/>
              <w:rPr>
                <w:sz w:val="24"/>
                <w:szCs w:val="24"/>
              </w:rPr>
            </w:pPr>
            <w:r>
              <w:rPr>
                <w:rFonts w:cs="宋体" w:hint="eastAsia"/>
                <w:kern w:val="0"/>
                <w:sz w:val="24"/>
                <w:szCs w:val="24"/>
                <w:lang w:bidi="ar-SA"/>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38"/>
              <w:widowControl/>
              <w:jc w:val="center"/>
              <w:rPr>
                <w:sz w:val="24"/>
                <w:szCs w:val="24"/>
              </w:rPr>
            </w:pPr>
            <w:r>
              <w:rPr>
                <w:rFonts w:cs="宋体" w:hint="eastAsia"/>
                <w:kern w:val="0"/>
                <w:sz w:val="24"/>
                <w:szCs w:val="24"/>
                <w:lang w:bidi="ar-SA"/>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3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38"/>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38"/>
              <w:widowControl/>
              <w:jc w:val="center"/>
              <w:rPr>
                <w:sz w:val="24"/>
                <w:szCs w:val="24"/>
              </w:rPr>
            </w:pPr>
            <w:r>
              <w:rPr>
                <w:rFonts w:cs="宋体" w:hint="eastAsia"/>
                <w:kern w:val="0"/>
                <w:sz w:val="24"/>
                <w:szCs w:val="24"/>
                <w:lang w:bidi="ar-SA"/>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61"/>
              <w:widowControl/>
              <w:adjustRightInd w:val="0"/>
              <w:snapToGrid w:val="0"/>
              <w:spacing w:line="260" w:lineRule="exact"/>
              <w:jc w:val="center"/>
              <w:rPr>
                <w:sz w:val="24"/>
                <w:szCs w:val="24"/>
              </w:rPr>
            </w:pPr>
            <w:r>
              <w:rPr>
                <w:rFonts w:cs="宋体" w:hint="eastAsia"/>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72"/>
              <w:jc w:val="center"/>
              <w:rPr>
                <w:rFonts w:eastAsia="方正仿宋_GBK" w:cs="宋体"/>
                <w:sz w:val="24"/>
                <w:szCs w:val="24"/>
                <w:lang w:bidi="ar-SA"/>
              </w:rPr>
            </w:pPr>
            <w:r>
              <w:rPr>
                <w:rFonts w:eastAsia="方正仿宋_GBK" w:cs="宋体"/>
                <w:sz w:val="24"/>
                <w:szCs w:val="24"/>
                <w:lang w:bidi="ar-SA"/>
              </w:rPr>
              <w:t>1</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38"/>
              <w:widowControl/>
              <w:jc w:val="center"/>
              <w:rPr>
                <w:sz w:val="24"/>
                <w:szCs w:val="24"/>
              </w:rPr>
            </w:pPr>
            <w:r>
              <w:rPr>
                <w:rFonts w:cs="宋体" w:hint="eastAsia"/>
                <w:kern w:val="0"/>
                <w:sz w:val="24"/>
                <w:szCs w:val="24"/>
                <w:lang w:bidi="ar-SA"/>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64"/>
              <w:widowControl/>
              <w:adjustRightInd w:val="0"/>
              <w:snapToGrid w:val="0"/>
              <w:spacing w:line="260" w:lineRule="exact"/>
              <w:jc w:val="center"/>
              <w:rPr>
                <w:sz w:val="24"/>
                <w:szCs w:val="24"/>
              </w:rPr>
            </w:pPr>
            <w:r>
              <w:rPr>
                <w:rFonts w:cs="宋体" w:hint="eastAsia"/>
                <w:kern w:val="0"/>
                <w:sz w:val="24"/>
                <w:szCs w:val="24"/>
                <w:lang w:bidi="ar-SA"/>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cs="宋体"/>
                <w:sz w:val="24"/>
                <w:szCs w:val="24"/>
                <w:lang w:bidi="ar-SA"/>
              </w:rPr>
            </w:pPr>
            <w:r>
              <w:rPr>
                <w:rFonts w:eastAsia="方正仿宋_GBK" w:cs="宋体"/>
                <w:sz w:val="24"/>
                <w:szCs w:val="24"/>
                <w:lang w:bidi="ar-SA"/>
              </w:rPr>
              <w:t>64</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73"/>
              <w:jc w:val="center"/>
              <w:rPr>
                <w:rFonts w:eastAsia="方正仿宋_GBK" w:cs="宋体"/>
                <w:sz w:val="24"/>
                <w:szCs w:val="24"/>
                <w:lang w:bidi="ar-SA"/>
              </w:rPr>
            </w:pPr>
            <w:r>
              <w:rPr>
                <w:rFonts w:eastAsia="方正仿宋_GBK" w:cs="宋体"/>
                <w:sz w:val="24"/>
                <w:szCs w:val="24"/>
                <w:lang w:bidi="ar-SA"/>
              </w:rPr>
              <w:t>10</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38"/>
              <w:widowControl/>
              <w:jc w:val="center"/>
              <w:rPr>
                <w:sz w:val="24"/>
                <w:szCs w:val="24"/>
              </w:rPr>
            </w:pPr>
            <w:r>
              <w:rPr>
                <w:rFonts w:cs="宋体" w:hint="eastAsia"/>
                <w:kern w:val="0"/>
                <w:sz w:val="24"/>
                <w:szCs w:val="24"/>
                <w:lang w:bidi="ar-SA"/>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rPr>
                <w:sz w:val="24"/>
                <w:szCs w:val="24"/>
              </w:rPr>
            </w:pPr>
            <w:r>
              <w:rPr>
                <w:rFonts w:cs="宋体" w:hint="eastAsia"/>
                <w:kern w:val="0"/>
                <w:sz w:val="24"/>
                <w:szCs w:val="24"/>
                <w:lang w:bidi="ar-SA"/>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68"/>
              <w:widowControl/>
              <w:adjustRightInd w:val="0"/>
              <w:snapToGrid w:val="0"/>
              <w:spacing w:line="260" w:lineRule="exact"/>
              <w:jc w:val="center"/>
              <w:rPr>
                <w:sz w:val="24"/>
                <w:szCs w:val="24"/>
              </w:rPr>
            </w:pPr>
            <w:r>
              <w:rPr>
                <w:rFonts w:cs="宋体" w:hint="eastAsia"/>
                <w:kern w:val="0"/>
                <w:sz w:val="24"/>
                <w:szCs w:val="24"/>
                <w:lang w:bidi="ar-SA"/>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adjustRightInd w:val="0"/>
              <w:snapToGrid w:val="0"/>
              <w:spacing w:line="260" w:lineRule="exact"/>
              <w:jc w:val="center"/>
            </w:pPr>
            <w:r>
              <w:rPr>
                <w:rFonts w:cs="宋体" w:hint="eastAsia"/>
                <w:kern w:val="0"/>
                <w:sz w:val="24"/>
                <w:szCs w:val="24"/>
                <w:lang w:bidi="ar-SA"/>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38"/>
              <w:jc w:val="center"/>
              <w:rPr>
                <w:rFonts w:eastAsia="方正仿宋_GBK" w:cs="宋体"/>
                <w:sz w:val="24"/>
                <w:szCs w:val="24"/>
                <w:lang w:bidi="ar-SA"/>
              </w:rPr>
            </w:pPr>
            <w:r>
              <w:rPr>
                <w:rFonts w:eastAsia="方正仿宋_GBK" w:cs="宋体"/>
                <w:sz w:val="24"/>
                <w:szCs w:val="24"/>
                <w:lang w:bidi="ar-SA"/>
              </w:rPr>
              <w:t>0</w:t>
            </w:r>
          </w:p>
        </w:tc>
      </w:tr>
    </w:tbl>
    <w:p>
      <w:pPr>
        <w:pStyle w:val="20"/>
        <w:tabs>
          <w:tab w:val="center" w:pos="4153"/>
          <w:tab w:val="right" w:pos="8306"/>
        </w:tabs>
      </w:pPr>
    </w:p>
    <w:p>
      <w:pPr>
        <w:pStyle w:val="26"/>
        <w:widowControl/>
        <w:shd w:val="clear" w:color="auto" w:fill="FFFFFF"/>
        <w:adjustRightInd w:val="0"/>
        <w:snapToGrid w:val="0"/>
        <w:spacing w:beforeAutospacing="0" w:afterLines="50" w:after="218" w:afterAutospacing="0" w:line="560" w:lineRule="exact"/>
        <w:ind w:firstLineChars="200" w:firstLine="640"/>
        <w:jc w:val="both"/>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pPr>
            <w:r>
              <w:rPr>
                <w:rFonts w:cs="宋体" w:hint="eastAsia"/>
                <w:kern w:val="0"/>
                <w:sz w:val="20"/>
                <w:szCs w:val="20"/>
                <w:lang w:bidi="ar-SA"/>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38"/>
              <w:widowControl/>
              <w:jc w:val="left"/>
              <w:rPr>
                <w:sz w:val="24"/>
                <w:szCs w:val="24"/>
              </w:rPr>
            </w:pPr>
            <w:r>
              <w:rPr>
                <w:rFonts w:cs="宋体" w:hint="eastAsia"/>
                <w:kern w:val="0"/>
                <w:sz w:val="24"/>
                <w:szCs w:val="24"/>
                <w:lang w:bidi="ar-SA"/>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jc w:val="center"/>
              <w:rPr>
                <w:rFonts w:eastAsia="方正仿宋_GBK"/>
                <w:sz w:val="24"/>
                <w:szCs w:val="24"/>
              </w:rPr>
            </w:pPr>
            <w:r>
              <w:rPr>
                <w:rFonts w:eastAsia="方正仿宋_GBK"/>
                <w:sz w:val="24"/>
                <w:szCs w:val="24"/>
              </w:rPr>
              <w:t>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38"/>
              <w:widowControl/>
              <w:jc w:val="left"/>
              <w:rPr>
                <w:sz w:val="24"/>
                <w:szCs w:val="24"/>
              </w:rPr>
            </w:pPr>
            <w:r>
              <w:rPr>
                <w:rFonts w:cs="宋体" w:hint="eastAsia"/>
                <w:kern w:val="0"/>
                <w:sz w:val="24"/>
                <w:szCs w:val="24"/>
                <w:lang w:bidi="ar-SA"/>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7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3"/>
              <w:jc w:val="center"/>
              <w:rPr>
                <w:rFonts w:eastAsia="方正仿宋_GBK"/>
                <w:sz w:val="24"/>
                <w:szCs w:val="24"/>
              </w:rPr>
            </w:pPr>
            <w:r>
              <w:rPr>
                <w:rFonts w:eastAsia="方正仿宋_GBK"/>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left"/>
              <w:rPr>
                <w:sz w:val="24"/>
                <w:szCs w:val="24"/>
              </w:rPr>
            </w:pPr>
            <w:r>
              <w:rPr>
                <w:rFonts w:eastAsia="楷体" w:cs="楷体" w:hint="eastAsia"/>
                <w:kern w:val="0"/>
                <w:sz w:val="24"/>
                <w:szCs w:val="24"/>
                <w:lang w:bidi="ar-SA"/>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4"/>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89"/>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90"/>
              <w:jc w:val="center"/>
              <w:rPr>
                <w:rFonts w:eastAsia="方正仿宋_GBK"/>
                <w:sz w:val="24"/>
                <w:szCs w:val="24"/>
              </w:rPr>
            </w:pPr>
            <w:r>
              <w:rPr>
                <w:rFonts w:eastAsia="方正仿宋_GBK"/>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left"/>
              <w:rPr>
                <w:sz w:val="24"/>
                <w:szCs w:val="24"/>
              </w:rPr>
            </w:pPr>
            <w:r>
              <w:rPr>
                <w:rFonts w:eastAsia="楷体" w:cs="楷体" w:hint="eastAsia"/>
                <w:kern w:val="0"/>
                <w:sz w:val="24"/>
                <w:szCs w:val="24"/>
                <w:lang w:bidi="ar-SA"/>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9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3"/>
              <w:jc w:val="center"/>
              <w:rPr>
                <w:rFonts w:eastAsia="方正仿宋_GBK"/>
                <w:sz w:val="24"/>
                <w:szCs w:val="24"/>
              </w:rPr>
            </w:pPr>
            <w:r>
              <w:rPr>
                <w:rFonts w:eastAsia="方正仿宋_GBK"/>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10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0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1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5"/>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2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39"/>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6"/>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4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3"/>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5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0"/>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8"/>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6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4"/>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7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1"/>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2"/>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6"/>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8"/>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8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0"/>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3"/>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5"/>
              <w:jc w:val="center"/>
              <w:rPr>
                <w:rFonts w:eastAsia="方正仿宋_GBK"/>
                <w:sz w:val="24"/>
                <w:szCs w:val="24"/>
              </w:rPr>
            </w:pPr>
            <w:r>
              <w:rPr>
                <w:rFonts w:eastAsia="方正仿宋_GBK"/>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7"/>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19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0"/>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1"/>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2"/>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3"/>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4"/>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5"/>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7"/>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8"/>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09"/>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38"/>
              <w:widowControl/>
              <w:rPr>
                <w:rFonts w:eastAsia="楷体" w:cs="楷体" w:hint="eastAsia"/>
                <w:kern w:val="0"/>
                <w:sz w:val="24"/>
                <w:szCs w:val="24"/>
                <w:lang w:bidi="ar-SA"/>
              </w:rPr>
            </w:pPr>
            <w:r>
              <w:rPr>
                <w:rFonts w:eastAsia="楷体" w:cs="楷体" w:hint="eastAsia"/>
                <w:kern w:val="0"/>
                <w:sz w:val="24"/>
                <w:szCs w:val="24"/>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1"/>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2"/>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4"/>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5"/>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16"/>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38"/>
              <w:widowControl/>
              <w:rPr>
                <w:rFonts w:eastAsia="楷体" w:cs="楷体" w:hint="eastAsia"/>
                <w:kern w:val="0"/>
                <w:sz w:val="24"/>
                <w:szCs w:val="24"/>
                <w:lang w:bidi="ar-SA"/>
              </w:rPr>
            </w:pPr>
            <w:r>
              <w:rPr>
                <w:rFonts w:eastAsia="楷体" w:cs="楷体" w:hint="eastAsia"/>
                <w:kern w:val="0"/>
                <w:sz w:val="24"/>
                <w:szCs w:val="24"/>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cBorders>
            <w:shd w:val="clear" w:color="auto" w:fill="auto"/>
            <w:vAlign w:val="center"/>
          </w:tcPr>
          <w:p>
            <w:pPr>
              <w:pStyle w:val="217"/>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18"/>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19"/>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2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21"/>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22"/>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23"/>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38"/>
              <w:widowControl/>
              <w:rPr>
                <w:rFonts w:eastAsia="楷体" w:cs="楷体" w:hint="eastAsia"/>
                <w:kern w:val="0"/>
                <w:sz w:val="24"/>
                <w:szCs w:val="24"/>
                <w:lang w:bidi="ar-SA"/>
              </w:rPr>
            </w:pPr>
            <w:r>
              <w:rPr>
                <w:rFonts w:eastAsia="楷体" w:cs="楷体" w:hint="eastAsia"/>
                <w:kern w:val="0"/>
                <w:sz w:val="24"/>
                <w:szCs w:val="24"/>
                <w:lang w:bidi="ar-SA"/>
              </w:rPr>
              <w:t>3.咨询事项，指引咨询渠道</w:t>
            </w:r>
          </w:p>
        </w:tc>
        <w:tc>
          <w:tcPr>
            <w:tcW w:w="635" w:type="dxa"/>
            <w:tcBorders>
              <w:top w:val="nil"/>
              <w:left w:val="nil"/>
              <w:bottom w:val="single" w:sz="8" w:space="0" w:color="auto"/>
              <w:right w:val="single" w:sz="8" w:space="0" w:color="auto"/>
            </w:tcBorders>
            <w:shd w:val="clear" w:color="auto" w:fill="auto"/>
            <w:vAlign w:val="center"/>
          </w:tcPr>
          <w:p>
            <w:pPr>
              <w:pStyle w:val="224"/>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25"/>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2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2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28"/>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29"/>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30"/>
              <w:jc w:val="center"/>
              <w:rPr>
                <w:rFonts w:eastAsia="方正仿宋_GBK"/>
                <w:sz w:val="24"/>
                <w:szCs w:val="24"/>
              </w:rPr>
            </w:pPr>
            <w:r>
              <w:rPr>
                <w:rFonts w:eastAsia="方正仿宋_GBK"/>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38"/>
              <w:widowControl/>
              <w:rPr>
                <w:rFonts w:eastAsia="楷体" w:cs="楷体" w:hint="eastAsia"/>
                <w:kern w:val="0"/>
                <w:sz w:val="24"/>
                <w:szCs w:val="24"/>
                <w:lang w:bidi="ar-SA"/>
              </w:rPr>
            </w:pPr>
            <w:r>
              <w:rPr>
                <w:rFonts w:eastAsia="楷体" w:cs="楷体" w:hint="eastAsia"/>
                <w:kern w:val="0"/>
                <w:sz w:val="24"/>
                <w:szCs w:val="24"/>
                <w:lang w:bidi="ar-SA"/>
              </w:rPr>
              <w:t>4.申请人撤销申请</w:t>
            </w:r>
          </w:p>
        </w:tc>
        <w:tc>
          <w:tcPr>
            <w:tcW w:w="635" w:type="dxa"/>
            <w:tcBorders>
              <w:top w:val="nil"/>
              <w:left w:val="nil"/>
              <w:bottom w:val="single" w:sz="8" w:space="0" w:color="auto"/>
              <w:right w:val="single" w:sz="8" w:space="0" w:color="auto"/>
            </w:tcBorders>
            <w:shd w:val="clear" w:color="auto" w:fill="auto"/>
            <w:vAlign w:val="center"/>
          </w:tcPr>
          <w:p>
            <w:pPr>
              <w:pStyle w:val="231"/>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vAlign w:val="center"/>
          </w:tcPr>
          <w:p>
            <w:pPr>
              <w:pStyle w:val="232"/>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33"/>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3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35"/>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36"/>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37"/>
              <w:jc w:val="center"/>
              <w:rPr>
                <w:rFonts w:eastAsia="方正仿宋_GBK"/>
                <w:sz w:val="24"/>
                <w:szCs w:val="24"/>
              </w:rPr>
            </w:pPr>
            <w:r>
              <w:rPr>
                <w:rFonts w:eastAsia="方正仿宋_GBK"/>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rPr>
                <w:sz w:val="24"/>
                <w:szCs w:val="24"/>
              </w:rPr>
            </w:pPr>
            <w:r>
              <w:rPr>
                <w:rFonts w:eastAsia="楷体" w:cs="楷体" w:hint="eastAsia"/>
                <w:kern w:val="0"/>
                <w:sz w:val="24"/>
                <w:szCs w:val="24"/>
                <w:lang w:bidi="ar-SA"/>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38"/>
              <w:jc w:val="center"/>
              <w:rPr>
                <w:rFonts w:eastAsia="方正仿宋_GBK"/>
                <w:sz w:val="24"/>
                <w:szCs w:val="24"/>
              </w:rPr>
            </w:pPr>
            <w:r>
              <w:rPr>
                <w:rFonts w:eastAsia="方正仿宋_GBK"/>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39"/>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1"/>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2"/>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4"/>
              <w:jc w:val="center"/>
              <w:rPr>
                <w:rFonts w:eastAsia="方正仿宋_GBK"/>
                <w:sz w:val="24"/>
                <w:szCs w:val="24"/>
              </w:rPr>
            </w:pPr>
            <w:r>
              <w:rPr>
                <w:rFonts w:eastAsia="方正仿宋_GBK"/>
                <w:sz w:val="24"/>
                <w:szCs w:val="24"/>
              </w:rPr>
              <w:t>1</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jc w:val="left"/>
            </w:pPr>
            <w:r>
              <w:rPr>
                <w:rFonts w:cs="宋体" w:hint="eastAsia"/>
                <w:kern w:val="0"/>
                <w:sz w:val="24"/>
                <w:szCs w:val="24"/>
                <w:lang w:bidi="ar-SA"/>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5"/>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6"/>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7"/>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8"/>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49"/>
              <w:jc w:val="center"/>
              <w:rPr>
                <w:rFonts w:eastAsia="方正仿宋_GBK"/>
                <w:sz w:val="24"/>
                <w:szCs w:val="24"/>
              </w:rPr>
            </w:pPr>
            <w:r>
              <w:rPr>
                <w:rFonts w:eastAsia="方正仿宋_GBK"/>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0"/>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1"/>
              <w:jc w:val="center"/>
              <w:rPr>
                <w:rFonts w:eastAsia="方正仿宋_GBK"/>
                <w:sz w:val="24"/>
                <w:szCs w:val="24"/>
              </w:rPr>
            </w:pPr>
            <w:r>
              <w:rPr>
                <w:rFonts w:eastAsia="方正仿宋_GBK"/>
                <w:sz w:val="24"/>
                <w:szCs w:val="24"/>
              </w:rPr>
              <w:t>0</w:t>
            </w:r>
          </w:p>
        </w:tc>
      </w:tr>
    </w:tbl>
    <w:p>
      <w:pPr>
        <w:pStyle w:val="26"/>
        <w:widowControl/>
        <w:shd w:val="clear" w:color="auto" w:fill="FFFFFF"/>
        <w:spacing w:beforeLines="50" w:before="218" w:beforeAutospacing="0" w:after="120" w:afterAutospacing="0"/>
        <w:ind w:firstLineChars="200" w:firstLine="640"/>
        <w:jc w:val="both"/>
        <w:rPr>
          <w:rFonts w:cs="宋体" w:hint="eastAsia"/>
          <w:szCs w:val="24"/>
          <w:lang w:bidi="ar-SA"/>
        </w:rPr>
      </w:pPr>
      <w:r>
        <w:rPr>
          <w:rFonts w:eastAsia="方正黑体_GBK" w:cs="楷体_GB2312" w:hint="eastAsia"/>
          <w:bCs/>
          <w:sz w:val="32"/>
          <w:szCs w:val="32"/>
          <w:shd w:val="clear" w:color="auto" w:fill="FFFFFF"/>
          <w:lang w:bidi="ar-SA"/>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sz w:val="24"/>
                <w:szCs w:val="24"/>
              </w:rPr>
            </w:pPr>
            <w:r>
              <w:rPr>
                <w:rFonts w:cs="宋体" w:hint="eastAsia"/>
                <w:kern w:val="0"/>
                <w:sz w:val="24"/>
                <w:szCs w:val="24"/>
                <w:lang w:bidi="ar-SA"/>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52"/>
              <w:jc w:val="center"/>
              <w:rPr>
                <w:rFonts w:eastAsia="方正仿宋_GBK"/>
                <w:sz w:val="24"/>
                <w:szCs w:val="24"/>
              </w:rPr>
            </w:pPr>
            <w:r>
              <w:rPr>
                <w:rFonts w:eastAsia="方正仿宋_GBK"/>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3"/>
              <w:jc w:val="center"/>
              <w:rPr>
                <w:rFonts w:eastAsia="方正仿宋_GBK"/>
                <w:sz w:val="24"/>
                <w:szCs w:val="24"/>
              </w:rPr>
            </w:pPr>
            <w:r>
              <w:rPr>
                <w:rFonts w:eastAsia="方正仿宋_GBK"/>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4"/>
              <w:jc w:val="center"/>
              <w:rPr>
                <w:rFonts w:eastAsia="方正仿宋_GBK"/>
                <w:sz w:val="24"/>
                <w:szCs w:val="24"/>
              </w:rPr>
            </w:pPr>
            <w:r>
              <w:rPr>
                <w:rFonts w:eastAsia="方正仿宋_GBK"/>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5"/>
              <w:jc w:val="center"/>
              <w:rPr>
                <w:rFonts w:eastAsia="方正仿宋_GBK"/>
                <w:sz w:val="24"/>
                <w:szCs w:val="24"/>
              </w:rPr>
            </w:pPr>
            <w:r>
              <w:rPr>
                <w:rFonts w:eastAsia="方正仿宋_GBK"/>
                <w:sz w:val="24"/>
                <w:szCs w:val="24"/>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6"/>
              <w:jc w:val="center"/>
              <w:rPr>
                <w:rFonts w:eastAsia="方正仿宋_GBK"/>
                <w:sz w:val="24"/>
                <w:szCs w:val="24"/>
              </w:rPr>
            </w:pPr>
            <w:r>
              <w:rPr>
                <w:rFonts w:eastAsia="方正仿宋_GBK"/>
                <w:sz w:val="24"/>
                <w:szCs w:val="24"/>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7"/>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8"/>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59"/>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60"/>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61"/>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62"/>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63"/>
              <w:jc w:val="center"/>
              <w:rPr>
                <w:rFonts w:eastAsia="方正仿宋_GBK"/>
                <w:sz w:val="24"/>
                <w:szCs w:val="24"/>
              </w:rPr>
            </w:pPr>
            <w:r>
              <w:rPr>
                <w:rFonts w:eastAsia="方正仿宋_GBK"/>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64"/>
              <w:jc w:val="center"/>
              <w:rPr>
                <w:rFonts w:eastAsia="方正仿宋_GBK"/>
                <w:sz w:val="24"/>
                <w:szCs w:val="24"/>
              </w:rPr>
            </w:pPr>
            <w:r>
              <w:rPr>
                <w:rFonts w:eastAsia="方正仿宋_GBK"/>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65"/>
              <w:jc w:val="center"/>
              <w:rPr>
                <w:rFonts w:eastAsia="方正仿宋_GBK"/>
                <w:sz w:val="24"/>
                <w:szCs w:val="24"/>
              </w:rPr>
            </w:pPr>
            <w:r>
              <w:rPr>
                <w:rFonts w:eastAsia="方正仿宋_GBK"/>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38"/>
              <w:widowControl/>
              <w:jc w:val="center"/>
              <w:rPr>
                <w:kern w:val="0"/>
                <w:sz w:val="28"/>
                <w:szCs w:val="28"/>
              </w:rPr>
            </w:pPr>
            <w:r>
              <w:rPr>
                <w:kern w:val="0"/>
                <w:sz w:val="28"/>
                <w:szCs w:val="28"/>
              </w:rPr>
              <w:t>0</w:t>
            </w:r>
          </w:p>
        </w:tc>
      </w:tr>
    </w:tbl>
    <w:p>
      <w:pPr>
        <w:pStyle w:val="26"/>
        <w:widowControl/>
        <w:shd w:val="clear" w:color="auto" w:fill="FFFFFF"/>
        <w:spacing w:beforeLines="50" w:before="218" w:beforeAutospacing="0" w:afterAutospacing="0" w:line="560" w:lineRule="exact"/>
        <w:ind w:firstLineChars="200" w:firstLine="640"/>
        <w:jc w:val="both"/>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五、存在的主要问题及改进情况</w:t>
      </w:r>
    </w:p>
    <w:p>
      <w:pPr>
        <w:pStyle w:val="51"/>
        <w:adjustRightInd w:val="0"/>
        <w:snapToGrid w:val="0"/>
        <w:ind w:firstLineChars="200" w:firstLine="624"/>
      </w:pPr>
      <w:r>
        <w:rPr>
          <w:rFonts w:eastAsia="方正楷体_GBK" w:hint="eastAsia"/>
          <w:b/>
          <w:bCs/>
        </w:rPr>
        <w:t>（一）2024年年报中所提问题整改情况。</w:t>
      </w:r>
      <w:r>
        <w:rPr>
          <w:rFonts w:hint="eastAsia"/>
        </w:rPr>
        <w:t>组织政府信息公开工作相关岗位人员专题学习</w:t>
      </w:r>
      <w:r>
        <w:t>《中华人民共和国政府信息公开条例》和相关工作制度，结合日常工作梳理核心条款与易错点。通过学习参考其他部门单位复杂依申请事项案例，进一步规范答复口径和办理流程，积累处置经验，切实提升应对复杂依申请事项的履职能力。</w:t>
      </w:r>
    </w:p>
    <w:p>
      <w:pPr>
        <w:pStyle w:val="44"/>
        <w:adjustRightInd w:val="0"/>
        <w:snapToGrid w:val="0"/>
        <w:ind w:firstLineChars="200" w:firstLine="624"/>
      </w:pPr>
      <w:r>
        <w:rPr>
          <w:rFonts w:eastAsia="方正楷体_GBK" w:hint="eastAsia"/>
          <w:b/>
          <w:bCs/>
        </w:rPr>
        <w:t>（二）目前存在问题。</w:t>
      </w:r>
      <w:r>
        <w:rPr>
          <w:bCs/>
        </w:rPr>
        <w:t>主动向社会公开的信息领域有待进一步拓展，邀请企业群众对海关政府信息公开工作提出意见建议还不够经常。</w:t>
      </w:r>
    </w:p>
    <w:p>
      <w:pPr>
        <w:pStyle w:val="26"/>
        <w:widowControl/>
        <w:shd w:val="clear" w:color="auto" w:fill="FFFFFF"/>
        <w:spacing w:beforeAutospacing="0" w:afterAutospacing="0" w:line="560" w:lineRule="exact"/>
        <w:ind w:firstLineChars="200" w:firstLine="640"/>
        <w:jc w:val="both"/>
        <w:rPr>
          <w:rFonts w:eastAsia="方正黑体_GBK" w:cs="楷体_GB2312" w:hint="eastAsia"/>
          <w:bCs/>
          <w:sz w:val="32"/>
          <w:szCs w:val="32"/>
          <w:shd w:val="clear" w:color="auto" w:fill="FFFFFF"/>
          <w:lang w:bidi="ar-SA"/>
        </w:rPr>
      </w:pPr>
      <w:r>
        <w:rPr>
          <w:rFonts w:eastAsia="方正黑体_GBK" w:cs="楷体_GB2312" w:hint="eastAsia"/>
          <w:bCs/>
          <w:sz w:val="32"/>
          <w:szCs w:val="32"/>
          <w:shd w:val="clear" w:color="auto" w:fill="FFFFFF"/>
          <w:lang w:bidi="ar-SA"/>
        </w:rPr>
        <w:t>六、其他需要报告的事项</w:t>
      </w:r>
      <w:bookmarkEnd w:id="1"/>
    </w:p>
    <w:p>
      <w:pPr>
        <w:pStyle w:val="50"/>
        <w:adjustRightInd w:val="0"/>
        <w:snapToGrid w:val="0"/>
        <w:ind w:firstLineChars="200" w:firstLine="624"/>
      </w:pPr>
      <w:r>
        <w:t>无。</w:t>
      </w:r>
    </w:p>
    <w:p>
      <w:pPr>
        <w:pStyle w:val="20"/>
        <w:tabs>
          <w:tab w:val="center" w:pos="4153"/>
          <w:tab w:val="right" w:pos="8306"/>
        </w:tabs>
      </w:pPr>
    </w:p>
    <w:p>
      <w:pPr>
        <w:pStyle w:val="20"/>
        <w:tabs>
          <w:tab w:val="center" w:pos="4153"/>
          <w:tab w:val="right" w:pos="8306"/>
        </w:tabs>
      </w:pP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楷体_GB2312">
    <w:altName w:val="楷体"/>
    <w:panose1 w:val="00000000000000000000"/>
    <w:charset w:val="86"/>
    <w:family w:val="auto"/>
    <w:pitch w:val="variable"/>
    <w:sig w:usb0="00000000" w:usb1="00000000" w:usb2="00000000" w:usb3="00000000" w:csb0="00040001" w:csb1="00000000"/>
  </w:font>
  <w:font w:name="方正黑体_GBK">
    <w:panose1 w:val="03000509000000000000"/>
    <w:charset w:val="86"/>
    <w:family w:val="script"/>
    <w:pitch w:val="variable"/>
    <w:sig w:usb0="00000001" w:usb1="080E0000" w:usb2="00000000" w:usb3="00000000" w:csb0="00040000" w:csb1="00000000"/>
  </w:font>
  <w:font w:name="宋体">
    <w:altName w:val="华文宋体"/>
    <w:panose1 w:val="02010600030101010101"/>
    <w:charset w:val="86"/>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楷体">
    <w:altName w:val="方正楷体_GBK"/>
    <w:panose1 w:val="02010609060101010101"/>
    <w:charset w:val="86"/>
    <w:family w:val="modern"/>
    <w:pitch w:val="variable"/>
    <w:sig w:usb0="800002BF" w:usb1="38CF7CFA" w:usb2="00000016" w:usb3="00000000" w:csb0="00040001" w:csb1="00000000"/>
  </w:font>
  <w:font w:name="方正楷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黑体">
    <w:altName w:val="华文细黑"/>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Calibri">
    <w:altName w:val="Times New Roman"/>
    <w:panose1 w:val="020F0502020204030204"/>
    <w:charset w:val="00"/>
    <w:family w:val="swiss"/>
    <w:pitch w:val="variable"/>
    <w:sig w:usb0="E10002FF" w:usb1="4000ACFF" w:usb2="00000009"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tabs>
        <w:tab w:val="center" w:pos="4153"/>
        <w:tab w:val="right" w:pos="8306"/>
      </w:tabs>
    </w:pPr>
    <w:r>
      <w:rPr>
        <w:rStyle w:val="28"/>
      </w:rPr>
      <w:fldChar w:fldCharType="begin"/>
    </w:r>
    <w:r>
      <w:rPr>
        <w:rStyle w:val="28"/>
      </w:rPr>
      <w:instrText>Page</w:instrText>
    </w:r>
    <w:r>
      <w:rPr>
        <w:rStyle w:val="28"/>
      </w:rPr>
      <w:fldChar w:fldCharType="separate"/>
    </w:r>
    <w:r>
      <w:rPr>
        <w:rStyle w:val="28"/>
      </w:rPr>
      <w:t>- 1 -</w:t>
    </w:r>
    <w:r>
      <w:rPr>
        <w:rStyle w:val="28"/>
      </w:rPr>
      <w:fldChar w:fldCharType="end"/>
    </w:r>
  </w:p>
  <w:p>
    <w:pPr>
      <w:pStyle w:val="20"/>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framePr w:w="0" w:hRule="auto" w:wrap="around" w:vAnchor="text" w:hAnchor="margin" w:xAlign="outside" w:y="1" w:anchorLock="0"/>
      <w:tabs>
        <w:tab w:val="center" w:pos="4153"/>
        <w:tab w:val="right" w:pos="8306"/>
      </w:tabs>
    </w:pPr>
    <w:r>
      <w:rPr>
        <w:rStyle w:val="28"/>
      </w:rPr>
      <w:fldChar w:fldCharType="begin"/>
    </w:r>
    <w:r>
      <w:rPr>
        <w:rStyle w:val="28"/>
      </w:rPr>
      <w:instrText>Page</w:instrText>
    </w:r>
    <w:r>
      <w:rPr>
        <w:rStyle w:val="28"/>
      </w:rPr>
      <w:fldChar w:fldCharType="separate"/>
    </w:r>
    <w:r>
      <w:rPr>
        <w:rStyle w:val="28"/>
      </w:rPr>
      <w:t>- 2 -</w:t>
    </w:r>
    <w:r>
      <w:rPr>
        <w:rStyle w:val="28"/>
      </w:rPr>
      <w:fldChar w:fldCharType="end"/>
    </w:r>
  </w:p>
  <w:p>
    <w:pPr>
      <w:pStyle w:val="20"/>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0"/>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20"/>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5E8B3B01"/>
    <w:multiLevelType w:val="singleLevel"/>
    <w:tmpl w:val="5E8B3B01"/>
    <w:lvl w:ilvl="0">
      <w:start w:val="1"/>
      <w:numFmt w:val="decimal"/>
      <w:lvlRestart w:val="0"/>
      <w:pStyle w:val="15"/>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8"/>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List Number 2"/>
    <w:basedOn w:val="0"/>
    <w:pPr>
      <w:numPr>
        <w:ilvl w:val="0"/>
        <w:numId w:val="1"/>
      </w:numPr>
    </w:pPr>
  </w:style>
  <w:style w:type="paragraph" w:styleId="16">
    <w:name w:val="index 8"/>
    <w:basedOn w:val="0"/>
    <w:next w:val="0"/>
    <w:pPr>
      <w:ind w:left="2940"/>
    </w:pPr>
  </w:style>
  <w:style w:type="paragraph" w:styleId="17">
    <w:name w:val="index 5"/>
    <w:basedOn w:val="0"/>
    <w:next w:val="0"/>
    <w:pPr>
      <w:ind w:left="1680"/>
    </w:pPr>
  </w:style>
  <w:style w:type="paragraph" w:styleId="18">
    <w:name w:val="annotation text"/>
    <w:basedOn w:val="0"/>
    <w:pPr>
      <w:jc w:val="left"/>
    </w:pPr>
  </w:style>
  <w:style w:type="paragraph" w:styleId="19">
    <w:name w:val="index 6"/>
    <w:basedOn w:val="0"/>
    <w:next w:val="0"/>
    <w:pPr>
      <w:ind w:left="2100"/>
    </w:pPr>
  </w:style>
  <w:style w:type="paragraph" w:styleId="20">
    <w:name w:val="footer"/>
    <w:basedOn w:val="0"/>
    <w:pPr>
      <w:tabs>
        <w:tab w:val="center" w:pos="4153"/>
        <w:tab w:val="right" w:pos="8306"/>
      </w:tabs>
      <w:snapToGrid w:val="0"/>
      <w:jc w:val="left"/>
    </w:pPr>
    <w:rPr>
      <w:sz w:val="18"/>
      <w:szCs w:val="18"/>
    </w:rPr>
  </w:style>
  <w:style w:type="paragraph" w:styleId="21">
    <w:name w:val="header"/>
    <w:basedOn w:val="0"/>
    <w:pPr>
      <w:pBdr>
        <w:bottom w:val="single" w:sz="6" w:space="1" w:color="auto"/>
      </w:pBdr>
      <w:tabs>
        <w:tab w:val="center" w:pos="4153"/>
        <w:tab w:val="right" w:pos="8306"/>
      </w:tabs>
      <w:snapToGrid w:val="0"/>
      <w:jc w:val="center"/>
    </w:pPr>
    <w:rPr>
      <w:sz w:val="18"/>
      <w:szCs w:val="18"/>
    </w:rPr>
  </w:style>
  <w:style w:type="paragraph" w:styleId="22">
    <w:name w:val="toc 1"/>
    <w:basedOn w:val="0"/>
    <w:next w:val="0"/>
  </w:style>
  <w:style w:type="paragraph" w:styleId="23">
    <w:name w:val="List"/>
    <w:basedOn w:val="0"/>
    <w:pPr>
      <w:ind w:left="420" w:hanging="420"/>
    </w:pPr>
  </w:style>
  <w:style w:type="paragraph" w:styleId="24">
    <w:name w:val="index 7"/>
    <w:basedOn w:val="0"/>
    <w:next w:val="0"/>
    <w:pPr>
      <w:ind w:left="2520"/>
    </w:pPr>
  </w:style>
  <w:style w:type="paragraph" w:styleId="25">
    <w:name w:val="toc 2"/>
    <w:basedOn w:val="0"/>
    <w:next w:val="0"/>
    <w:pPr>
      <w:ind w:left="420"/>
    </w:pPr>
  </w:style>
  <w:style w:type="paragraph" w:styleId="26">
    <w:name w:val="Normal (Web)"/>
    <w:next w:val="20"/>
    <w:pPr>
      <w:widowControl w:val="0"/>
      <w:spacing w:beforeAutospacing="1" w:afterAutospacing="1"/>
    </w:pPr>
    <w:rPr>
      <w:rFonts w:ascii="Times New Roman" w:eastAsia="宋体" w:cs="Times New Roman" w:hAnsi="Times New Roman"/>
      <w:sz w:val="24"/>
      <w:szCs w:val="30"/>
      <w:lang w:val="en-US" w:eastAsia="zh-CN" w:bidi="ar-SA"/>
    </w:rPr>
  </w:style>
  <w:style w:type="paragraph" w:styleId="27">
    <w:name w:val="annotation subject"/>
    <w:basedOn w:val="18"/>
    <w:next w:val="18"/>
    <w:rPr>
      <w:b/>
      <w:bCs/>
    </w:rPr>
  </w:style>
  <w:style w:type="character" w:styleId="28">
    <w:name w:val="page number"/>
    <w:basedOn w:val="10"/>
  </w:style>
  <w:style w:type="paragraph" w:customStyle="1" w:styleId="29">
    <w:name w:val="正文1"/>
    <w:next w:val="30"/>
    <w:pPr>
      <w:widowControl w:val="0"/>
      <w:jc w:val="both"/>
    </w:pPr>
    <w:rPr>
      <w:rFonts w:ascii="Times New Roman" w:eastAsia="方正仿宋_GBK" w:cs="Times New Roman" w:hAnsi="Times New Roman"/>
      <w:kern w:val="2"/>
      <w:sz w:val="32"/>
      <w:szCs w:val="20"/>
      <w:lang w:val="en-US" w:eastAsia="zh-CN" w:bidi="ar-SA"/>
    </w:rPr>
  </w:style>
  <w:style w:type="paragraph" w:customStyle="1" w:styleId="30">
    <w:name w:val="正文6"/>
    <w:pPr>
      <w:widowControl w:val="0"/>
      <w:jc w:val="both"/>
    </w:pPr>
    <w:rPr>
      <w:rFonts w:ascii="Times New Roman" w:eastAsia="方正仿宋_GBK" w:cs="Times New Roman" w:hAnsi="Times New Roman"/>
      <w:kern w:val="2"/>
      <w:sz w:val="32"/>
      <w:szCs w:val="20"/>
      <w:lang w:val="en-US" w:eastAsia="zh-CN" w:bidi="ar-SA"/>
    </w:rPr>
  </w:style>
  <w:style w:type="paragraph" w:customStyle="1" w:styleId="31">
    <w:name w:val="正文2"/>
    <w:pPr>
      <w:widowControl w:val="0"/>
      <w:jc w:val="both"/>
    </w:pPr>
    <w:rPr>
      <w:rFonts w:ascii="Times New Roman" w:eastAsia="方正仿宋_GBK" w:cs="Times New Roman" w:hAnsi="Times New Roman"/>
      <w:kern w:val="2"/>
      <w:sz w:val="32"/>
      <w:szCs w:val="20"/>
      <w:lang w:val="en-US" w:eastAsia="zh-CN" w:bidi="ar-SA"/>
    </w:rPr>
  </w:style>
  <w:style w:type="paragraph" w:customStyle="1" w:styleId="32">
    <w:name w:val="正文3"/>
    <w:pPr>
      <w:widowControl w:val="0"/>
      <w:jc w:val="both"/>
    </w:pPr>
    <w:rPr>
      <w:rFonts w:ascii="Times New Roman" w:eastAsia="方正仿宋_GBK" w:cs="Times New Roman" w:hAnsi="Times New Roman"/>
      <w:kern w:val="2"/>
      <w:sz w:val="32"/>
      <w:szCs w:val="20"/>
      <w:lang w:val="en-US" w:eastAsia="zh-CN" w:bidi="ar-SA"/>
    </w:rPr>
  </w:style>
  <w:style w:type="paragraph" w:customStyle="1" w:styleId="33">
    <w:name w:val="正文4"/>
    <w:pPr>
      <w:widowControl w:val="0"/>
      <w:jc w:val="both"/>
    </w:pPr>
    <w:rPr>
      <w:rFonts w:ascii="Times New Roman" w:eastAsia="方正仿宋_GBK" w:cs="Times New Roman" w:hAnsi="Times New Roman"/>
      <w:kern w:val="2"/>
      <w:sz w:val="32"/>
      <w:szCs w:val="20"/>
      <w:lang w:val="en-US" w:eastAsia="zh-CN" w:bidi="ar-SA"/>
    </w:rPr>
  </w:style>
  <w:style w:type="paragraph" w:customStyle="1" w:styleId="34">
    <w:name w:val="正文5"/>
    <w:pPr>
      <w:widowControl w:val="0"/>
      <w:jc w:val="both"/>
    </w:pPr>
    <w:rPr>
      <w:rFonts w:ascii="Times New Roman" w:eastAsia="方正仿宋_GBK" w:cs="Times New Roman" w:hAnsi="Times New Roman"/>
      <w:kern w:val="2"/>
      <w:sz w:val="32"/>
      <w:szCs w:val="20"/>
      <w:lang w:val="en-US" w:eastAsia="zh-CN" w:bidi="ar-SA"/>
    </w:rPr>
  </w:style>
  <w:style w:type="paragraph" w:customStyle="1" w:styleId="35">
    <w:name w:val="正文7"/>
    <w:pPr>
      <w:widowControl w:val="0"/>
      <w:jc w:val="both"/>
    </w:pPr>
    <w:rPr>
      <w:rFonts w:ascii="Times New Roman" w:eastAsia="方正仿宋_GBK" w:cs="Times New Roman" w:hAnsi="Times New Roman"/>
      <w:kern w:val="2"/>
      <w:sz w:val="32"/>
      <w:szCs w:val="20"/>
      <w:lang w:val="en-US" w:eastAsia="zh-CN" w:bidi="ar-SA"/>
    </w:rPr>
  </w:style>
  <w:style w:type="paragraph" w:customStyle="1" w:styleId="36">
    <w:name w:val="样式 1 三号"/>
    <w:next w:val="22"/>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7">
    <w:name w:val="样式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38">
    <w:name w:val="样式 小三"/>
    <w:next w:val="25"/>
    <w:pPr>
      <w:widowControl w:val="0"/>
      <w:jc w:val="both"/>
    </w:pPr>
    <w:rPr>
      <w:rFonts w:ascii="Times New Roman" w:eastAsia="宋体" w:cs="Times New Roman" w:hAnsi="Times New Roman"/>
      <w:kern w:val="2"/>
      <w:sz w:val="30"/>
      <w:szCs w:val="30"/>
      <w:lang w:val="en-US" w:eastAsia="zh-CN" w:bidi="ar-SA"/>
    </w:rPr>
  </w:style>
  <w:style w:type="paragraph" w:customStyle="1" w:styleId="39">
    <w:name w:val="样式 1 小四"/>
    <w:next w:val="30"/>
    <w:pPr>
      <w:widowControl w:val="0"/>
    </w:pPr>
    <w:rPr>
      <w:rFonts w:ascii="宋体" w:eastAsia="宋体" w:cs="Times New Roman"/>
      <w:kern w:val="2"/>
      <w:sz w:val="24"/>
      <w:szCs w:val="20"/>
      <w:lang w:val="en-US" w:eastAsia="zh-CN" w:bidi="ar-SA"/>
    </w:rPr>
  </w:style>
  <w:style w:type="paragraph" w:customStyle="1" w:styleId="40">
    <w:name w:val="样式 6 小四"/>
    <w:next w:val="35"/>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1">
    <w:name w:val="样式 20 小四"/>
    <w:next w:val="17"/>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2">
    <w:name w:val="样式 12 三号"/>
    <w:next w:val="16"/>
    <w:pPr>
      <w:widowControl w:val="0"/>
      <w:jc w:val="both"/>
    </w:pPr>
    <w:rPr>
      <w:rFonts w:ascii="Times New Roman" w:eastAsia="方正仿宋_GBK" w:cs="Times New Roman" w:hAnsi="Times New Roman"/>
      <w:kern w:val="2"/>
      <w:sz w:val="32"/>
      <w:szCs w:val="20"/>
      <w:lang w:val="en-US" w:eastAsia="zh-CN" w:bidi="ar-SA"/>
    </w:rPr>
  </w:style>
  <w:style w:type="paragraph" w:customStyle="1" w:styleId="43">
    <w:name w:val="样式 50 三号"/>
    <w:next w:val="19"/>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4">
    <w:name w:val="样式 13 三号"/>
    <w:next w:val="24"/>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4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4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50">
    <w:name w:val="样式 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1">
    <w:name w:val="样式 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52">
    <w:name w:val="样式 小四"/>
    <w:pPr>
      <w:widowControl w:val="0"/>
    </w:pPr>
    <w:rPr>
      <w:rFonts w:ascii="宋体" w:eastAsia="宋体" w:cs="Times New Roman"/>
      <w:kern w:val="2"/>
      <w:sz w:val="24"/>
      <w:szCs w:val="20"/>
      <w:lang w:val="en-US" w:eastAsia="zh-CN" w:bidi="ar-SA"/>
    </w:rPr>
  </w:style>
  <w:style w:type="paragraph" w:customStyle="1" w:styleId="5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5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9">
    <w:name w:val="样式 1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60">
    <w:name w:val="样式 3 小四"/>
    <w:pPr>
      <w:widowControl w:val="0"/>
    </w:pPr>
    <w:rPr>
      <w:rFonts w:ascii="宋体" w:eastAsia="宋体" w:cs="Times New Roman"/>
      <w:kern w:val="2"/>
      <w:sz w:val="24"/>
      <w:szCs w:val="20"/>
      <w:lang w:val="en-US" w:eastAsia="zh-CN" w:bidi="ar-SA"/>
    </w:rPr>
  </w:style>
  <w:style w:type="paragraph" w:customStyle="1" w:styleId="61">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68">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9">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70">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71">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72">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73">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74">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75">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76">
    <w:name w:val="样式 20 小三"/>
    <w:pPr>
      <w:widowControl w:val="0"/>
      <w:jc w:val="both"/>
    </w:pPr>
    <w:rPr>
      <w:rFonts w:ascii="Times New Roman" w:eastAsia="宋体" w:cs="Times New Roman" w:hAnsi="Times New Roman"/>
      <w:kern w:val="2"/>
      <w:sz w:val="30"/>
      <w:szCs w:val="30"/>
      <w:lang w:val="en-US" w:eastAsia="zh-CN" w:bidi="ar-SA"/>
    </w:rPr>
  </w:style>
  <w:style w:type="paragraph" w:customStyle="1" w:styleId="77">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78">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79">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80">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81">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82">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83">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84">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81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82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83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84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85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86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87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88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89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90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91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92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93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94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95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96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97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98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99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200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201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202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203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204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205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206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207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208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209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1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67">
    <w:name w:val="样式 25 三号"/>
    <w:next w:val="72"/>
    <w:pPr>
      <w:widowControl w:val="0"/>
      <w:jc w:val="both"/>
    </w:pPr>
    <w:rPr>
      <w:rFonts w:ascii="Times New Roman" w:eastAsia="方正仿宋_GBK" w:cs="Arial" w:hAnsi="Times New Roman"/>
      <w:kern w:val="2"/>
      <w:sz w:val="32"/>
      <w:szCs w:val="21"/>
      <w:lang w:val="en-US" w:eastAsia="zh-CN" w:bidi="ar-SA"/>
    </w:rPr>
  </w:style>
  <w:style w:type="paragraph" w:customStyle="1" w:styleId="268">
    <w:name w:val="样式 11 10 磅"/>
    <w:next w:val="62"/>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47 三号"/>
    <w:next w:val="23"/>
    <w:pPr>
      <w:widowControl w:val="0"/>
      <w:spacing w:line="560" w:lineRule="exact"/>
      <w:ind w:firstLineChars="200" w:firstLine="200"/>
      <w:jc w:val="both"/>
    </w:pPr>
    <w:rPr>
      <w:rFonts w:ascii="Times New Roman" w:eastAsia="方正仿宋_GBK" w:cs="Times New Roman" w:hAnsi="Times New Roman"/>
      <w:kern w:val="2"/>
      <w:sz w:val="32"/>
      <w:szCs w:val="22"/>
      <w:lang w:val="en-US" w:eastAsia="zh-CN" w:bidi="ar-SA"/>
    </w:rPr>
  </w:style>
  <w:style w:type="paragraph" w:customStyle="1" w:styleId="270">
    <w:name w:val="样式 1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1">
    <w:name w:val="样式 15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2">
    <w:name w:val="样式 16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3">
    <w:name w:val="样式 17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4">
    <w:name w:val="样式 18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5">
    <w:name w:val="样式 9 10 磅"/>
    <w:next w:val="45"/>
    <w:pPr>
      <w:widowControl w:val="0"/>
      <w:jc w:val="both"/>
    </w:pPr>
    <w:rPr>
      <w:rFonts w:ascii="Calibri" w:eastAsia="宋体" w:cs="Arial" w:hAnsi="Calibri"/>
      <w:kern w:val="2"/>
      <w:sz w:val="21"/>
      <w:szCs w:val="22"/>
      <w:lang w:val="en-US" w:eastAsia="zh-CN" w:bidi="ar-SA"/>
    </w:rPr>
  </w:style>
  <w:style w:type="paragraph" w:customStyle="1" w:styleId="276">
    <w:name w:val="样式 19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77">
    <w:name w:val="样式 4 小四"/>
    <w:pPr>
      <w:widowControl w:val="0"/>
    </w:pPr>
    <w:rPr>
      <w:rFonts w:ascii="宋体" w:eastAsia="宋体" w:cs="Times New Roman"/>
      <w:kern w:val="2"/>
      <w:sz w:val="24"/>
      <w:szCs w:val="20"/>
      <w:lang w:val="en-US" w:eastAsia="zh-CN" w:bidi="ar-SA"/>
    </w:rPr>
  </w:style>
  <w:style w:type="paragraph" w:customStyle="1" w:styleId="278">
    <w:name w:val="样式 20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79">
    <w:name w:val="样式 21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0">
    <w:name w:val="样式 22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1">
    <w:name w:val="样式 23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2">
    <w:name w:val="样式 24 三号"/>
    <w:pPr>
      <w:widowControl w:val="0"/>
      <w:jc w:val="both"/>
    </w:pPr>
    <w:rPr>
      <w:rFonts w:ascii="Times New Roman" w:eastAsia="方正仿宋_GBK" w:cs="Times New Roman" w:hAnsi="Times New Roman"/>
      <w:kern w:val="2"/>
      <w:sz w:val="32"/>
      <w:szCs w:val="20"/>
      <w:lang w:val="en-US" w:eastAsia="zh-CN" w:bidi="ar-SA"/>
    </w:rPr>
  </w:style>
  <w:style w:type="paragraph" w:customStyle="1" w:styleId="283">
    <w:name w:val="样式 26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4">
    <w:name w:val="样式 27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5">
    <w:name w:val="样式 28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6">
    <w:name w:val="样式 29 三号"/>
    <w:pPr>
      <w:widowControl w:val="0"/>
      <w:spacing w:line="560" w:lineRule="exact"/>
      <w:jc w:val="both"/>
    </w:pPr>
    <w:rPr>
      <w:rFonts w:ascii="Times New Roman" w:eastAsia="方正仿宋_GBK" w:cs="Times New Roman" w:hAnsi="Times New Roman"/>
      <w:spacing w:val="-4"/>
      <w:kern w:val="2"/>
      <w:sz w:val="32"/>
      <w:szCs w:val="20"/>
      <w:lang w:val="en-US" w:eastAsia="zh-CN" w:bidi="ar-SA"/>
    </w:rPr>
  </w:style>
  <w:style w:type="paragraph" w:customStyle="1" w:styleId="287">
    <w:name w:val="样式 30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88">
    <w:name w:val="样式 31 三号"/>
    <w:pPr>
      <w:widowControl w:val="0"/>
      <w:jc w:val="both"/>
    </w:pPr>
    <w:rPr>
      <w:rFonts w:ascii="Times New Roman" w:eastAsia="方正仿宋_GBK" w:cs="Times New Roman" w:hAnsi="Times New Roman"/>
      <w:kern w:val="2"/>
      <w:sz w:val="32"/>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6</Pages>
  <Words>1860</Words>
  <Characters>1904</Characters>
  <Lines>408</Lines>
  <Paragraphs>299</Paragraphs>
  <CharactersWithSpaces>1904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苗鑫</cp:lastModifiedBy>
  <cp:revision>2</cp:revision>
  <cp:lastPrinted>2020-01-22T00:43:00Z</cp:lastPrinted>
  <dcterms:created xsi:type="dcterms:W3CDTF">2026-01-23T02:15:00Z</dcterms:created>
  <dcterms:modified xsi:type="dcterms:W3CDTF">2026-01-30T05:46:32Z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TemplateDocerSaveRecord">
    <vt:lpwstr>eyJoZGlkIjoiYzk2MDI5ZjA4MzQ4ZDQ0MTE4ZTQ3YzhlOTc1MDMyMGEifQ==</vt:lpwstr>
  </property>
  <property fmtid="{D5CDD505-2E9C-101B-9397-08002B2CF9AE}" pid="3" name="KSOProductBuildVer">
    <vt:lpwstr>2052-12.1.0.21915</vt:lpwstr>
  </property>
  <property fmtid="{D5CDD505-2E9C-101B-9397-08002B2CF9AE}" pid="4" name="ICV">
    <vt:lpwstr>31F28EC27E7B4DA68D56264ACE65DFB2_13</vt:lpwstr>
  </property>
</Properties>
</file>