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50"/>
        <w:spacing w:line="580" w:lineRule="exact"/>
        <w:jc w:val="center"/>
        <w:rPr>
          <w:rFonts w:ascii="方正小标宋_GBK" w:eastAsia="方正小标宋_GBK" w:cs="方正小标宋_GBK" w:hint="eastAsia"/>
          <w:sz w:val="44"/>
          <w:szCs w:val="44"/>
          <w:lang w:bidi="ar-SA"/>
        </w:rPr>
      </w:pPr>
      <w:bookmarkStart w:id="0" w:name="_Hlk25540369"/>
      <w:bookmarkStart w:id="1" w:name="cogw__正文__file"/>
      <w:r>
        <w:rPr>
          <w:rFonts w:ascii="方正小标宋_GBK" w:eastAsia="方正小标宋_GBK" w:cs="方正小标宋_GBK" w:hint="eastAsia"/>
          <w:sz w:val="44"/>
          <w:szCs w:val="44"/>
          <w:lang w:bidi="ar-SA"/>
        </w:rPr>
        <w:t>塘沽海关2025年政府信息公开工作年度报告</w:t>
      </w:r>
      <w:bookmarkEnd w:id="0"/>
    </w:p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ascii="楷体_GB2312" w:eastAsia="楷体_GB2312" w:cs="楷体_GB2312" w:hint="eastAsia"/>
          <w:bCs/>
          <w:sz w:val="32"/>
          <w:szCs w:val="32"/>
          <w:shd w:val="clear" w:color="auto" w:fill="FFFFFF"/>
          <w:lang w:bidi="ar-SA"/>
        </w:rPr>
      </w:pPr>
    </w:p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一、总体情况</w:t>
      </w:r>
    </w:p>
    <w:p>
      <w:pPr>
        <w:pStyle w:val="40"/>
        <w:adjustRightInd w:val="0"/>
        <w:snapToGrid w:val="0"/>
        <w:spacing w:line="560" w:lineRule="exact"/>
        <w:ind w:firstLineChars="200" w:firstLine="640"/>
      </w:pPr>
      <w:r>
        <w:rPr>
          <w:rFonts w:ascii="Times New Roman" w:eastAsia="方正仿宋_GBK" w:hAnsi="Times New Roman"/>
          <w:sz w:val="32"/>
          <w:szCs w:val="32"/>
        </w:rPr>
        <w:t>本年度，</w:t>
      </w:r>
      <w:r>
        <w:rPr>
          <w:rFonts w:ascii="Times New Roman" w:eastAsia="方正仿宋_GBK" w:hAnsi="Times New Roman" w:hint="eastAsia"/>
          <w:sz w:val="32"/>
          <w:szCs w:val="32"/>
        </w:rPr>
        <w:t>塘沽海关坚持以习近平新时代中国特色社会主义思想为指导，全面贯彻党的二十大和二十届四中全会精神，认真落实党中央、国务院关于政务公开工作的决策部署，紧密围绕海关总署和天津海关工作安排，以提升公开质量、增强服务效能、优化营商环境为目标，扎实推进政府信息公开各项工作。</w:t>
      </w:r>
      <w:r>
        <w:t xml:space="preserve"> </w:t>
      </w:r>
    </w:p>
    <w:p>
      <w:pPr>
        <w:pStyle w:val="40"/>
        <w:adjustRightInd w:val="0"/>
        <w:snapToGrid w:val="0"/>
        <w:spacing w:line="560" w:lineRule="exact"/>
        <w:ind w:firstLineChars="200" w:firstLine="640"/>
        <w:rPr>
          <w:rFonts w:ascii="方正楷体_GBK" w:eastAsia="方正楷体_GBK" w:hint="eastAsia"/>
          <w:b/>
          <w:bCs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（一）工作执行情况。</w:t>
      </w:r>
    </w:p>
    <w:p>
      <w:pPr>
        <w:pStyle w:val="40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b/>
          <w:sz w:val="32"/>
          <w:szCs w:val="32"/>
        </w:rPr>
        <w:t>制度建设与组织保障</w:t>
      </w:r>
      <w:r>
        <w:rPr>
          <w:rFonts w:ascii="Times New Roman" w:eastAsia="方正仿宋_GBK" w:hAnsi="Times New Roman" w:hint="eastAsia"/>
          <w:b/>
          <w:sz w:val="32"/>
          <w:szCs w:val="32"/>
        </w:rPr>
        <w:t>。</w:t>
      </w:r>
      <w:r>
        <w:rPr>
          <w:rFonts w:ascii="Times New Roman" w:eastAsia="方正仿宋_GBK" w:hAnsi="Times New Roman" w:hint="eastAsia"/>
          <w:sz w:val="32"/>
          <w:szCs w:val="32"/>
        </w:rPr>
        <w:t>持续完善政府信息公开工作机制，进一步明确公开范围、流程、时限和责任。建立健全政务公开跨科室协同机制，由关领导统筹指导，办公室具体牵头，各业务科室积极配合，形成协同联动、各尽其责、整体推进的工作合力，有力保障政务公开工作的规范运行与工作质效。</w:t>
      </w:r>
    </w:p>
    <w:p>
      <w:pPr>
        <w:pStyle w:val="86"/>
        <w:spacing w:line="560" w:lineRule="exact"/>
        <w:rPr>
          <w:rFonts w:hint="eastAsia"/>
        </w:rPr>
      </w:pPr>
      <w:r>
        <w:rPr>
          <w:rFonts w:hint="eastAsia"/>
          <w:szCs w:val="32"/>
        </w:rPr>
        <w:t xml:space="preserve">    </w:t>
      </w:r>
      <w:r>
        <w:rPr>
          <w:b/>
          <w:szCs w:val="32"/>
        </w:rPr>
        <w:t>主动公开情况</w:t>
      </w:r>
      <w:r>
        <w:rPr>
          <w:rFonts w:hint="eastAsia"/>
          <w:b/>
          <w:szCs w:val="32"/>
        </w:rPr>
        <w:t>。</w:t>
      </w:r>
      <w:r>
        <w:rPr>
          <w:rFonts w:hint="eastAsia"/>
        </w:rPr>
        <w:t>坚持以“公开为常态、不公开为例外”的原则，依托天津海关门户网站、天津海关12360</w:t>
      </w:r>
      <w:r>
        <w:t>热线</w:t>
      </w:r>
      <w:r>
        <w:rPr>
          <w:rFonts w:hint="eastAsia"/>
        </w:rPr>
        <w:t>微信公众号、关区公告栏等线上线下平台，主动、及时、准确地公开政府信息。全年累计主动公开各类信息35条，内容涵盖政策法规、办事指南、工作动态等。针对企业群众关注的促进外贸稳规模优结构、优化口岸营商环境、跨境贸易便利化措施等信息，持续强化公开力度与解读深度。</w:t>
      </w:r>
    </w:p>
    <w:p>
      <w:pPr>
        <w:pStyle w:val="86"/>
        <w:spacing w:line="560" w:lineRule="exact"/>
        <w:ind w:firstLineChars="200" w:firstLine="640"/>
      </w:pPr>
      <w:r>
        <w:rPr>
          <w:b/>
          <w:szCs w:val="32"/>
        </w:rPr>
        <w:t>依申请公开</w:t>
      </w:r>
      <w:r>
        <w:rPr>
          <w:rFonts w:hint="eastAsia"/>
          <w:b/>
          <w:szCs w:val="32"/>
        </w:rPr>
        <w:t>情况。</w:t>
      </w:r>
      <w:r>
        <w:rPr>
          <w:rFonts w:hint="eastAsia"/>
        </w:rPr>
        <w:t>及时关注各依申请公开渠道接受申请情况，规范受理、审查、答复、存档各环节流程，有效保障了公民、法人和其他组织的知情权、参与权和监督权。</w:t>
      </w:r>
      <w:r>
        <w:t xml:space="preserve"> </w:t>
      </w:r>
    </w:p>
    <w:p>
      <w:pPr>
        <w:pStyle w:val="40"/>
        <w:adjustRightInd w:val="0"/>
        <w:snapToGrid w:val="0"/>
        <w:spacing w:line="560" w:lineRule="exact"/>
        <w:ind w:firstLineChars="200" w:firstLine="640"/>
        <w:rPr>
          <w:rFonts w:ascii="方正楷体_GBK" w:eastAsia="方正楷体_GBK" w:hint="eastAsia"/>
          <w:b/>
          <w:bCs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（二）取得成效。</w:t>
      </w:r>
    </w:p>
    <w:p>
      <w:pPr>
        <w:pStyle w:val="40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实施“精准公开+深度解读”。</w:t>
      </w:r>
      <w:r>
        <w:rPr>
          <w:rFonts w:ascii="Times New Roman" w:eastAsia="方正仿宋_GBK" w:hAnsi="Times New Roman"/>
          <w:sz w:val="32"/>
          <w:szCs w:val="32"/>
        </w:rPr>
        <w:t>针对辖区特色产业，定期编制帮扶企业</w:t>
      </w:r>
      <w:r>
        <w:rPr>
          <w:rFonts w:ascii="Times New Roman" w:eastAsia="方正仿宋_GBK" w:hAnsi="Times New Roman" w:hint="eastAsia"/>
          <w:sz w:val="32"/>
          <w:szCs w:val="32"/>
        </w:rPr>
        <w:t>进</w:t>
      </w:r>
      <w:r>
        <w:rPr>
          <w:rFonts w:ascii="Times New Roman" w:eastAsia="方正仿宋_GBK" w:hAnsi="Times New Roman"/>
          <w:sz w:val="32"/>
          <w:szCs w:val="32"/>
        </w:rPr>
        <w:t>出口参考信息资料。如《塘沽海关公平贸易信息月报》</w:t>
      </w:r>
      <w:r>
        <w:rPr>
          <w:rFonts w:ascii="Times New Roman" w:eastAsia="方正仿宋_GBK" w:hAnsi="Times New Roman" w:hint="eastAsia"/>
          <w:sz w:val="32"/>
          <w:szCs w:val="32"/>
        </w:rPr>
        <w:t>《经开区进出口贸易分析》</w:t>
      </w:r>
      <w:r>
        <w:rPr>
          <w:rFonts w:ascii="Times New Roman" w:eastAsia="方正仿宋_GBK" w:hAnsi="Times New Roman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sz w:val="32"/>
          <w:szCs w:val="32"/>
        </w:rPr>
        <w:t>精准、及时做好信息公开和政策解读，</w:t>
      </w:r>
      <w:r>
        <w:rPr>
          <w:rFonts w:ascii="Times New Roman" w:eastAsia="方正仿宋_GBK" w:hAnsi="Times New Roman"/>
          <w:sz w:val="32"/>
          <w:szCs w:val="32"/>
        </w:rPr>
        <w:t>以精细化服务助推地方外贸高质量发展。</w:t>
      </w:r>
    </w:p>
    <w:p>
      <w:pPr>
        <w:pStyle w:val="40"/>
        <w:adjustRightInd w:val="0"/>
        <w:snapToGrid w:val="0"/>
        <w:spacing w:line="560" w:lineRule="exact"/>
        <w:ind w:firstLineChars="200" w:firstLine="640"/>
        <w:jc w:val="both"/>
        <w:rPr>
          <w:rFonts w:ascii="Times New Roman" w:eastAsia="方正仿宋_GBK" w:hAnsi="Times New Roman"/>
          <w:snapToGrid w:val="0"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深化“关地企”</w:t>
      </w:r>
      <w:r>
        <w:rPr>
          <w:rFonts w:ascii="Times New Roman" w:eastAsia="方正仿宋_GBK" w:hAnsi="Times New Roman"/>
          <w:b/>
          <w:sz w:val="32"/>
          <w:szCs w:val="32"/>
        </w:rPr>
        <w:t>融合</w:t>
      </w:r>
      <w:r>
        <w:rPr>
          <w:rFonts w:ascii="Times New Roman" w:eastAsia="方正仿宋_GBK" w:hAnsi="Times New Roman" w:hint="eastAsia"/>
          <w:b/>
          <w:sz w:val="32"/>
          <w:szCs w:val="32"/>
        </w:rPr>
        <w:t>服务模式。</w:t>
      </w:r>
      <w:r>
        <w:rPr>
          <w:rFonts w:ascii="Times New Roman" w:eastAsia="方正仿宋_GBK" w:hAnsi="Times New Roman"/>
          <w:snapToGrid w:val="0"/>
          <w:color w:val="000000"/>
          <w:kern w:val="0"/>
          <w:sz w:val="32"/>
          <w:szCs w:val="32"/>
        </w:rPr>
        <w:t>建立</w:t>
      </w:r>
      <w:r>
        <w:rPr>
          <w:rFonts w:ascii="Times New Roman" w:eastAsia="方正仿宋_GBK" w:hAnsi="Times New Roman" w:hint="eastAsia"/>
          <w:snapToGrid w:val="0"/>
          <w:sz w:val="32"/>
          <w:szCs w:val="32"/>
        </w:rPr>
        <w:t>“</w:t>
      </w:r>
      <w:r>
        <w:rPr>
          <w:rFonts w:ascii="Times New Roman" w:eastAsia="方正仿宋_GBK" w:hAnsi="Times New Roman"/>
          <w:snapToGrid w:val="0"/>
          <w:sz w:val="32"/>
          <w:szCs w:val="32"/>
        </w:rPr>
        <w:t>关地企</w:t>
      </w:r>
      <w:r>
        <w:rPr>
          <w:rFonts w:ascii="Times New Roman" w:eastAsia="方正仿宋_GBK" w:hAnsi="Times New Roman" w:hint="eastAsia"/>
          <w:snapToGrid w:val="0"/>
          <w:sz w:val="32"/>
          <w:szCs w:val="32"/>
        </w:rPr>
        <w:t>”</w:t>
      </w:r>
      <w:r>
        <w:rPr>
          <w:rFonts w:ascii="Times New Roman" w:eastAsia="方正仿宋_GBK" w:hAnsi="Times New Roman"/>
          <w:snapToGrid w:val="0"/>
          <w:sz w:val="32"/>
          <w:szCs w:val="32"/>
        </w:rPr>
        <w:t>常态化</w:t>
      </w:r>
      <w:r>
        <w:rPr>
          <w:rFonts w:ascii="Times New Roman" w:eastAsia="方正仿宋_GBK" w:hAnsi="Times New Roman" w:hint="eastAsia"/>
          <w:snapToGrid w:val="0"/>
          <w:sz w:val="32"/>
          <w:szCs w:val="32"/>
        </w:rPr>
        <w:t>业务协商机制，</w:t>
      </w:r>
      <w:r>
        <w:rPr>
          <w:rFonts w:ascii="Times New Roman" w:eastAsia="方正仿宋_GBK" w:hAnsi="Times New Roman"/>
          <w:snapToGrid w:val="0"/>
          <w:sz w:val="32"/>
          <w:szCs w:val="32"/>
        </w:rPr>
        <w:t>协同管委会解决企业政策疑难30余例</w:t>
      </w:r>
      <w:r>
        <w:rPr>
          <w:rFonts w:ascii="Times New Roman" w:eastAsia="方正仿宋_GBK" w:hAnsi="Times New Roman" w:hint="eastAsia"/>
          <w:snapToGrid w:val="0"/>
          <w:sz w:val="32"/>
          <w:szCs w:val="32"/>
        </w:rPr>
        <w:t>。</w:t>
      </w:r>
      <w:r>
        <w:rPr>
          <w:rFonts w:ascii="Times New Roman" w:eastAsia="方正仿宋_GBK" w:hAnsi="Times New Roman" w:hint="eastAsia"/>
          <w:snapToGrid w:val="0"/>
          <w:color w:val="000000"/>
          <w:kern w:val="0"/>
          <w:sz w:val="32"/>
          <w:szCs w:val="32"/>
        </w:rPr>
        <w:t>与天津海关综合处</w:t>
      </w:r>
      <w:r>
        <w:rPr>
          <w:rFonts w:ascii="Times New Roman" w:eastAsia="方正仿宋_GBK" w:hAnsi="Times New Roman"/>
          <w:snapToGrid w:val="0"/>
          <w:color w:val="000000"/>
          <w:kern w:val="0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napToGrid w:val="0"/>
          <w:color w:val="000000"/>
          <w:kern w:val="0"/>
          <w:sz w:val="32"/>
          <w:szCs w:val="32"/>
        </w:rPr>
        <w:t>经开区</w:t>
      </w:r>
      <w:r>
        <w:rPr>
          <w:rFonts w:ascii="Times New Roman" w:eastAsia="方正仿宋_GBK" w:hAnsi="Times New Roman"/>
          <w:snapToGrid w:val="0"/>
          <w:color w:val="000000"/>
          <w:kern w:val="0"/>
          <w:sz w:val="32"/>
          <w:szCs w:val="32"/>
        </w:rPr>
        <w:t>管委会</w:t>
      </w:r>
      <w:r>
        <w:rPr>
          <w:rFonts w:ascii="Times New Roman" w:eastAsia="方正仿宋_GBK" w:hAnsi="Times New Roman" w:hint="eastAsia"/>
          <w:snapToGrid w:val="0"/>
          <w:color w:val="000000"/>
          <w:kern w:val="0"/>
          <w:sz w:val="32"/>
          <w:szCs w:val="32"/>
        </w:rPr>
        <w:t>共同组织滨海片区“津关</w:t>
      </w:r>
      <w:r>
        <w:rPr>
          <w:rFonts w:ascii="Times New Roman" w:eastAsia="方正仿宋_GBK" w:hAnsi="Times New Roman"/>
          <w:snapToGrid w:val="0"/>
          <w:color w:val="000000"/>
          <w:kern w:val="0"/>
          <w:sz w:val="32"/>
          <w:szCs w:val="32"/>
        </w:rPr>
        <w:t>24</w:t>
      </w:r>
      <w:r>
        <w:rPr>
          <w:rFonts w:ascii="Times New Roman" w:eastAsia="方正仿宋_GBK" w:hAnsi="Times New Roman" w:hint="eastAsia"/>
          <w:snapToGrid w:val="0"/>
          <w:color w:val="000000"/>
          <w:kern w:val="0"/>
          <w:sz w:val="32"/>
          <w:szCs w:val="32"/>
        </w:rPr>
        <w:t>条”宣贯会</w:t>
      </w:r>
      <w:r>
        <w:rPr>
          <w:rFonts w:ascii="Times New Roman" w:eastAsia="方正仿宋_GBK" w:hAnsi="Times New Roman"/>
          <w:snapToGrid w:val="0"/>
          <w:color w:val="000000"/>
          <w:kern w:val="0"/>
          <w:sz w:val="32"/>
          <w:szCs w:val="32"/>
        </w:rPr>
        <w:t>7</w:t>
      </w:r>
      <w:r>
        <w:rPr>
          <w:rFonts w:ascii="Times New Roman" w:eastAsia="方正仿宋_GBK" w:hAnsi="Times New Roman" w:hint="eastAsia"/>
          <w:snapToGrid w:val="0"/>
          <w:color w:val="000000"/>
          <w:kern w:val="0"/>
          <w:sz w:val="32"/>
          <w:szCs w:val="32"/>
        </w:rPr>
        <w:t>次。同时</w:t>
      </w:r>
      <w:r>
        <w:rPr>
          <w:rFonts w:ascii="Times New Roman" w:eastAsia="方正仿宋_GBK" w:hAnsi="Times New Roman" w:hint="eastAsia"/>
          <w:snapToGrid w:val="0"/>
          <w:sz w:val="32"/>
          <w:szCs w:val="32"/>
        </w:rPr>
        <w:t>持续开展线上服务宣讲，升级改造关区政务公开专区，增设智能导览、自助查询、互动体验设备，打造“一站式”信息获取与服务体验区。</w:t>
      </w:r>
    </w:p>
    <w:p>
      <w:pPr>
        <w:pStyle w:val="44"/>
        <w:adjustRightInd w:val="0"/>
        <w:snapToGrid w:val="0"/>
        <w:spacing w:beforeLines="50" w:before="218" w:afterLines="50" w:after="218"/>
        <w:ind w:firstLineChars="200" w:firstLine="624"/>
        <w:rPr>
          <w:rFonts w:ascii="方正黑体_GBK" w:eastAsia="方正黑体_GBK" w:cs="楷体_GB2312" w:hint="eastAsia"/>
          <w:bCs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  <w:lang w:bidi="ar-SA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规章</w:t>
            </w:r>
          </w:p>
        </w:tc>
        <w:tc>
          <w:tcPr>
            <w:tcW w:w="21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行政规范性文件</w:t>
            </w:r>
          </w:p>
        </w:tc>
        <w:tc>
          <w:tcPr>
            <w:tcW w:w="21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行政许可</w:t>
            </w:r>
          </w:p>
        </w:tc>
        <w:tc>
          <w:tcPr>
            <w:tcW w:w="627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行政处罚</w:t>
            </w:r>
          </w:p>
        </w:tc>
        <w:tc>
          <w:tcPr>
            <w:tcW w:w="627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32</w:t>
            </w:r>
          </w:p>
        </w:tc>
      </w:tr>
      <w:tr>
        <w:trPr>
          <w:trHeight w:val="51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行政强制</w:t>
            </w:r>
          </w:p>
        </w:tc>
        <w:tc>
          <w:tcPr>
            <w:tcW w:w="627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4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</w:tbl>
    <w:p>
      <w:pPr>
        <w:pStyle w:val="21"/>
        <w:tabs>
          <w:tab w:val="center" w:pos="4153"/>
          <w:tab w:val="right" w:pos="8306"/>
        </w:tabs>
      </w:pPr>
    </w:p>
    <w:p>
      <w:pPr>
        <w:pStyle w:val="26"/>
        <w:widowControl/>
        <w:shd w:val="clear" w:color="auto" w:fill="FFFFFF"/>
        <w:adjustRightInd w:val="0"/>
        <w:snapToGrid w:val="0"/>
        <w:spacing w:beforeAutospacing="0" w:afterLines="50" w:after="218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商业企业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一、本年新收政府信息公开申请数量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二、上年结转政府信息公开申请数量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（一）予以公开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（三）不予公开</w:t>
            </w: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1.属于国家秘密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2.其他法律行政法规禁止公开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5"/>
        </w:trP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3.危及“三安全一稳定”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4.保护第三方合法权益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5.属于三类内部事务信息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6.属于四类过程性信息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7.属于行政执法案卷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8.属于行政查询事项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（四）无法提供</w:t>
            </w: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1.本机关不掌握相关政府信息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2.没有现成信息需要另行制作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3.补正后申请内容仍不明确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（五）不予处理</w:t>
            </w: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1.信访举报投诉类申请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2.重复申请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3.要求提供公开出版物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4.无正当理由大量反复申请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（六）其他处理</w:t>
            </w:r>
          </w:p>
        </w:tc>
        <w:tc>
          <w:tcPr>
            <w:tcW w:w="26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9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39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39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3.咨询事项，指引咨询渠道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39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4.申请人撤销申请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（七）总计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四、结转下年度继续办理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>
      <w:pPr>
        <w:pStyle w:val="26"/>
        <w:widowControl/>
        <w:shd w:val="clear" w:color="auto" w:fill="FFFFFF"/>
        <w:spacing w:beforeLines="50" w:before="218" w:beforeAutospacing="0" w:after="120" w:afterAutospacing="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</w:p>
    <w:p>
      <w:pPr>
        <w:pStyle w:val="26"/>
        <w:widowControl/>
        <w:shd w:val="clear" w:color="auto" w:fill="FFFFFF"/>
        <w:spacing w:beforeLines="50" w:before="218" w:beforeAutospacing="0" w:after="120" w:afterAutospacing="0"/>
        <w:ind w:firstLineChars="200" w:firstLine="640"/>
        <w:jc w:val="both"/>
        <w:rPr>
          <w:rFonts w:ascii="宋体" w:cs="宋体" w:hint="eastAsia"/>
          <w:szCs w:val="24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4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</w:tr>
    </w:tbl>
    <w:p>
      <w:pPr>
        <w:pStyle w:val="26"/>
        <w:widowControl/>
        <w:shd w:val="clear" w:color="auto" w:fill="FFFFFF"/>
        <w:spacing w:beforeLines="50" w:before="218"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五、存在的主要问题及改进情况</w:t>
      </w:r>
    </w:p>
    <w:p>
      <w:pPr>
        <w:pStyle w:val="81"/>
        <w:spacing w:line="560" w:lineRule="exact"/>
        <w:ind w:firstLineChars="200" w:firstLine="624"/>
        <w:rPr>
          <w:rFonts w:ascii="Times New Roman" w:eastAsia="方正楷体_GBK" w:hAnsi="Times New Roman" w:hint="eastAsia"/>
          <w:b/>
          <w:bCs/>
          <w:spacing w:val="-4"/>
          <w:sz w:val="32"/>
          <w:szCs w:val="20"/>
        </w:rPr>
      </w:pPr>
      <w:r>
        <w:rPr>
          <w:rFonts w:ascii="Times New Roman" w:eastAsia="方正楷体_GBK" w:hAnsi="Times New Roman" w:hint="eastAsia"/>
          <w:b/>
          <w:bCs/>
          <w:spacing w:val="-4"/>
          <w:sz w:val="32"/>
          <w:szCs w:val="20"/>
        </w:rPr>
        <w:t>（一）2024年年报中所提问题整改情况。</w:t>
      </w:r>
    </w:p>
    <w:p>
      <w:pPr>
        <w:spacing w:line="560" w:lineRule="exact"/>
        <w:ind w:firstLineChars="180" w:firstLine="576"/>
      </w:pPr>
      <w:r>
        <w:rPr>
          <w:rFonts w:hint="eastAsia"/>
        </w:rPr>
        <w:t>针对“信息公开内容精准度有待提高，部分解读深度不够”的问题，2025年采取了以下改进措施并取得积极进展：</w:t>
      </w:r>
      <w:r>
        <w:rPr>
          <w:rFonts w:hint="eastAsia"/>
          <w:b/>
        </w:rPr>
        <w:t>深化解读内容建设，</w:t>
      </w:r>
      <w:r>
        <w:rPr>
          <w:rFonts w:hint="eastAsia"/>
        </w:rPr>
        <w:t>除常规文字解读外，大力开发图解、短视频等新媒体解读</w:t>
      </w:r>
      <w:r>
        <w:t>形式</w:t>
      </w:r>
      <w:r>
        <w:rPr>
          <w:rFonts w:hint="eastAsia"/>
        </w:rPr>
        <w:t>，并请教职能处专家参与解读，提升了政策的权威性和易懂性；</w:t>
      </w:r>
      <w:r>
        <w:rPr>
          <w:rFonts w:hint="eastAsia"/>
          <w:b/>
        </w:rPr>
        <w:t>强化反馈闭环管理，</w:t>
      </w:r>
      <w:r>
        <w:rPr>
          <w:rFonts w:hint="eastAsia"/>
        </w:rPr>
        <w:t>建立政策解读效果跟踪反馈机制，通过到企业座谈、电话回访等方式收集企业意见，及时优化后续解读、公开工作。</w:t>
      </w:r>
    </w:p>
    <w:p>
      <w:pPr>
        <w:pStyle w:val="45"/>
        <w:adjustRightInd w:val="0"/>
        <w:snapToGrid w:val="0"/>
        <w:ind w:firstLineChars="200" w:firstLine="624"/>
        <w:rPr>
          <w:rFonts w:ascii="方正楷体_GBK" w:eastAsia="方正楷体_GBK" w:hint="eastAsia"/>
          <w:b/>
          <w:bCs/>
        </w:rPr>
      </w:pPr>
      <w:r>
        <w:rPr>
          <w:rFonts w:ascii="方正楷体_GBK" w:eastAsia="方正楷体_GBK" w:hint="eastAsia"/>
          <w:b/>
          <w:bCs/>
        </w:rPr>
        <w:t>（二）目前存在问题。</w:t>
      </w:r>
    </w:p>
    <w:p>
      <w:pPr>
        <w:pStyle w:val="45"/>
        <w:adjustRightInd w:val="0"/>
        <w:snapToGrid w:val="0"/>
        <w:ind w:firstLineChars="200" w:firstLine="624"/>
        <w:rPr>
          <w:szCs w:val="32"/>
        </w:rPr>
      </w:pPr>
      <w:r>
        <w:rPr>
          <w:rFonts w:hint="eastAsia"/>
          <w:szCs w:val="32"/>
        </w:rPr>
        <w:t>在利用新兴技术提升信息公开智能化、个性化服务水平方面，尚处于探索起步阶段，潜力有待进一步挖掘。</w:t>
      </w:r>
    </w:p>
    <w:p>
      <w:pPr>
        <w:pStyle w:val="26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六、其他需要报告的事项</w:t>
      </w:r>
      <w:bookmarkEnd w:id="1"/>
    </w:p>
    <w:p>
      <w:pPr>
        <w:pStyle w:val="51"/>
        <w:adjustRightInd w:val="0"/>
        <w:snapToGrid w:val="0"/>
        <w:ind w:firstLineChars="200" w:firstLine="624"/>
      </w:pPr>
      <w:r>
        <w:t>无。</w:t>
      </w:r>
    </w:p>
    <w:p>
      <w:pPr>
        <w:pStyle w:val="21"/>
        <w:tabs>
          <w:tab w:val="center" w:pos="4153"/>
          <w:tab w:val="right" w:pos="8306"/>
        </w:tabs>
      </w:pPr>
    </w:p>
    <w:p>
      <w:pPr>
        <w:pStyle w:val="21"/>
        <w:tabs>
          <w:tab w:val="center" w:pos="4153"/>
          <w:tab w:val="right" w:pos="8306"/>
        </w:tabs>
      </w:pPr>
    </w:p>
    <w:sectPr>
      <w:footerReference w:type="default" r:id="rId2"/>
      <w:footerReference w:type="even" r:id="rId3"/>
      <w:footerReference w:type="first" r:id="rId4"/>
      <w:pgSz w:w="11906" w:h="16838"/>
      <w:pgMar w:top="2098" w:right="1474" w:bottom="1985" w:left="1588" w:header="851" w:footer="992" w:gutter="0"/>
      <w:pgNumType w:fmt="numberInDash" w:start="1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auto"/>
    <w:pitch w:val="variable"/>
    <w:sig w:usb0="00000000" w:usb1="00000000" w:usb2="00000000" w:usb3="00000000" w:csb0="00040001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楷体">
    <w:altName w:val="方正楷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黑体">
    <w:altName w:val="华文细黑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2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1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28"/>
      </w:rPr>
      <w:fldChar w:fldCharType="begin"/>
    </w:r>
    <w:r>
      <w:rPr>
        <w:rStyle w:val="28"/>
      </w:rPr>
      <w:instrText>Page</w:instrText>
    </w:r>
    <w:r>
      <w:rPr>
        <w:rStyle w:val="28"/>
      </w:rPr>
      <w:fldChar w:fldCharType="separate"/>
    </w:r>
    <w:r>
      <w:rPr>
        <w:rStyle w:val="28"/>
      </w:rPr>
      <w:t>- 1 -</w:t>
    </w:r>
    <w:r>
      <w:rPr>
        <w:rStyle w:val="28"/>
      </w:rPr>
      <w:fldChar w:fldCharType="end"/>
    </w:r>
  </w:p>
  <w:p>
    <w:pPr>
      <w:pStyle w:val="21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1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28"/>
      </w:rPr>
      <w:fldChar w:fldCharType="begin"/>
    </w:r>
    <w:r>
      <w:rPr>
        <w:rStyle w:val="28"/>
      </w:rPr>
      <w:instrText>Page</w:instrText>
    </w:r>
    <w:r>
      <w:rPr>
        <w:rStyle w:val="28"/>
      </w:rPr>
      <w:fldChar w:fldCharType="separate"/>
    </w:r>
    <w:r>
      <w:rPr>
        <w:rStyle w:val="28"/>
      </w:rPr>
      <w:t>- 6 -</w:t>
    </w:r>
    <w:r>
      <w:rPr>
        <w:rStyle w:val="28"/>
      </w:rPr>
      <w:fldChar w:fldCharType="end"/>
    </w:r>
  </w:p>
  <w:p>
    <w:pPr>
      <w:pStyle w:val="21"/>
      <w:tabs>
        <w:tab w:val="center" w:pos="4153"/>
        <w:tab w:val="right" w:pos="8306"/>
      </w:tabs>
      <w:ind w:right="360" w:firstLine="360"/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1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t>6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21"/>
      <w:tabs>
        <w:tab w:val="center" w:pos="4153"/>
        <w:tab w:val="right" w:pos="8306"/>
      </w:tabs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F8273C7F"/>
    <w:multiLevelType w:val="singleLevel"/>
    <w:tmpl w:val="F8273C7F"/>
    <w:lvl w:ilvl="0">
      <w:start w:val="1"/>
      <w:numFmt w:val="decimal"/>
      <w:lvlRestart w:val="0"/>
      <w:pStyle w:val="15"/>
      <w:lvlText w:val="%1."/>
      <w:lvlJc w:val="left"/>
      <w:pPr>
        <w:tabs>
          <w:tab w:val="num" w:pos="780"/>
        </w:tabs>
        <w:ind w:left="780" w:hanging="36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48"/>
  <w:doNotDisplayPageBoundaries/>
  <w:bordersDoNotSurroundHeader/>
  <w:bordersDoNotSurroundFooter/>
  <w:trackRevisions/>
  <w:defaultTabStop w:val="420"/>
  <w:evenAndOddHeaders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List Number 2"/>
    <w:basedOn w:val="0"/>
    <w:pPr>
      <w:numPr>
        <w:ilvl w:val="0"/>
        <w:numId w:val="1"/>
      </w:numPr>
    </w:pPr>
  </w:style>
  <w:style w:type="paragraph" w:styleId="16">
    <w:name w:val="index 8"/>
    <w:basedOn w:val="0"/>
    <w:next w:val="0"/>
    <w:pPr>
      <w:ind w:left="2940"/>
    </w:pPr>
  </w:style>
  <w:style w:type="paragraph" w:styleId="17">
    <w:name w:val="index 5"/>
    <w:basedOn w:val="0"/>
    <w:next w:val="0"/>
    <w:pPr>
      <w:ind w:left="1680"/>
    </w:pPr>
  </w:style>
  <w:style w:type="paragraph" w:styleId="18">
    <w:name w:val="annotation text"/>
    <w:basedOn w:val="0"/>
    <w:next w:val="19"/>
    <w:pPr>
      <w:widowControl w:val="0"/>
      <w:jc w:val="left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styleId="19">
    <w:name w:val="Balloon Text"/>
    <w:basedOn w:val="0"/>
    <w:rPr>
      <w:sz w:val="18"/>
      <w:szCs w:val="18"/>
    </w:rPr>
  </w:style>
  <w:style w:type="paragraph" w:styleId="20">
    <w:name w:val="index 6"/>
    <w:basedOn w:val="0"/>
    <w:next w:val="0"/>
    <w:pPr>
      <w:ind w:left="2100"/>
    </w:pPr>
  </w:style>
  <w:style w:type="paragraph" w:styleId="21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2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toc 1"/>
    <w:basedOn w:val="0"/>
    <w:next w:val="0"/>
  </w:style>
  <w:style w:type="paragraph" w:styleId="24">
    <w:name w:val="index 7"/>
    <w:basedOn w:val="0"/>
    <w:next w:val="0"/>
    <w:pPr>
      <w:ind w:left="2520"/>
    </w:pPr>
  </w:style>
  <w:style w:type="paragraph" w:styleId="25">
    <w:name w:val="toc 2"/>
    <w:basedOn w:val="0"/>
    <w:next w:val="0"/>
    <w:pPr>
      <w:ind w:left="420"/>
    </w:pPr>
  </w:style>
  <w:style w:type="paragraph" w:styleId="26">
    <w:name w:val="Normal (Web)"/>
    <w:next w:val="21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styleId="27">
    <w:name w:val="annotation subject"/>
    <w:basedOn w:val="18"/>
    <w:next w:val="18"/>
    <w:rPr>
      <w:b/>
      <w:bCs/>
    </w:rPr>
  </w:style>
  <w:style w:type="character" w:styleId="28">
    <w:name w:val="page number"/>
    <w:basedOn w:val="10"/>
  </w:style>
  <w:style w:type="character" w:styleId="29">
    <w:name w:val="annotation reference"/>
    <w:basedOn w:val="10"/>
    <w:rPr>
      <w:sz w:val="21"/>
      <w:szCs w:val="21"/>
    </w:rPr>
  </w:style>
  <w:style w:type="paragraph" w:customStyle="1" w:styleId="30">
    <w:name w:val="样式 三号"/>
    <w:next w:val="3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1">
    <w:name w:val="样式 三号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2">
    <w:name w:val="正文1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3">
    <w:name w:val="正文2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4">
    <w:name w:val="正文3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5">
    <w:name w:val="正文4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6">
    <w:name w:val="正文5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7">
    <w:name w:val="正文6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8">
    <w:name w:val="样式 1 三号"/>
    <w:next w:val="23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39">
    <w:name w:val="样式 小三"/>
    <w:next w:val="2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0">
    <w:name w:val="样式 1 小四"/>
    <w:next w:val="36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41">
    <w:name w:val="样式 6 小四"/>
    <w:next w:val="37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2">
    <w:name w:val="样式 20 小四"/>
    <w:next w:val="17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3">
    <w:name w:val="样式 12 三号"/>
    <w:next w:val="16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4">
    <w:name w:val="样式 50 三号"/>
    <w:next w:val="20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5">
    <w:name w:val="样式 13 三号"/>
    <w:next w:val="24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6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47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8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9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0">
    <w:name w:val="样式 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51">
    <w:name w:val="样式 7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52">
    <w:name w:val="样式 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53">
    <w:name w:val="样式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54">
    <w:name w:val="样式 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5">
    <w:name w:val="样式 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6">
    <w:name w:val="样式 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7">
    <w:name w:val="样式 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8">
    <w:name w:val="样式 9 三号"/>
    <w:pPr>
      <w:widowControl w:val="0"/>
      <w:ind w:left="42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9">
    <w:name w:val="样式 2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60">
    <w:name w:val="样式 10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61">
    <w:name w:val="样式 3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62">
    <w:name w:val="样式 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3">
    <w:name w:val="样式 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4">
    <w:name w:val="样式 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5">
    <w:name w:val="样式 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6">
    <w:name w:val="样式 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7">
    <w:name w:val="样式 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8">
    <w:name w:val="样式 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9">
    <w:name w:val="样式 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0">
    <w:name w:val="样式 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1">
    <w:name w:val="样式 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2">
    <w:name w:val="样式 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3">
    <w:name w:val="样式 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4">
    <w:name w:val="样式 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5">
    <w:name w:val="样式 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6">
    <w:name w:val="样式 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7">
    <w:name w:val="样式 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8">
    <w:name w:val="样式 4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79">
    <w:name w:val="样式 1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80">
    <w:name w:val="样式 5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1">
    <w:name w:val="样式 7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2">
    <w:name w:val="样式 8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83">
    <w:name w:val="样式 9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84">
    <w:name w:val="样式 10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85">
    <w:name w:val="样式 4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86">
    <w:name w:val="样式 14 三号"/>
    <w:pPr>
      <w:widowControl w:val="0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7">
    <w:name w:val="样式 15 三号"/>
    <w:pPr>
      <w:widowControl w:val="0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8">
    <w:name w:val="样式 11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9">
    <w:name w:val="样式 16 三号"/>
    <w:pPr>
      <w:widowControl w:val="0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numbering" Target="numbering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</TotalTime>
  <Application>Yozo_Office</Application>
  <Pages>6</Pages>
  <Words>1970</Words>
  <Characters>2004</Characters>
  <Lines>414</Lines>
  <Paragraphs>306</Paragraphs>
  <CharactersWithSpaces>2010</CharactersWithSpaces>
  <Company>ccic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吕大良</dc:creator>
  <cp:lastModifiedBy>苗鑫</cp:lastModifiedBy>
  <cp:revision>4</cp:revision>
  <cp:lastPrinted>2026-01-15T01:43:00Z</cp:lastPrinted>
  <dcterms:created xsi:type="dcterms:W3CDTF">2026-01-23T03:25:00Z</dcterms:created>
  <dcterms:modified xsi:type="dcterms:W3CDTF">2026-01-30T05:41:13Z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eyJoZGlkIjoiYzk2MDI5ZjA4MzQ4ZDQ0MTE4ZTQ3YzhlOTc1MDMyMGEifQ==</vt:lpwstr>
  </property>
  <property fmtid="{D5CDD505-2E9C-101B-9397-08002B2CF9AE}" pid="3" name="KSOProductBuildVer">
    <vt:lpwstr>2052-12.1.0.21915</vt:lpwstr>
  </property>
  <property fmtid="{D5CDD505-2E9C-101B-9397-08002B2CF9AE}" pid="4" name="ICV">
    <vt:lpwstr>7D2EA4D1D64E4B2B95E0E7B601F543B2_13</vt:lpwstr>
  </property>
</Properties>
</file>