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9"/>
        <w:jc w:val="center"/>
        <w:rPr>
          <w:rFonts w:eastAsia="方正小标宋_GBK" w:cs="方正小标宋_GBK" w:hint="eastAsia"/>
          <w:sz w:val="44"/>
          <w:szCs w:val="44"/>
          <w:lang w:bidi="ar-SA"/>
        </w:rPr>
      </w:pPr>
      <w:bookmarkStart w:id="0" w:name="_Hlk25540369"/>
      <w:bookmarkStart w:id="1" w:name="cogw__正文__file"/>
      <w:r>
        <w:rPr>
          <w:rFonts w:eastAsia="方正小标宋_GBK" w:cs="方正小标宋_GBK" w:hint="eastAsia"/>
          <w:sz w:val="44"/>
          <w:szCs w:val="44"/>
          <w:lang w:bidi="ar-SA"/>
        </w:rPr>
        <w:t>蓟州海关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2025</w:t>
      </w:r>
      <w:r>
        <w:rPr>
          <w:rFonts w:eastAsia="方正小标宋_GBK" w:cs="方正小标宋_GBK" w:hint="eastAsia"/>
          <w:sz w:val="44"/>
          <w:szCs w:val="44"/>
          <w:lang w:bidi="ar-SA"/>
        </w:rPr>
        <w:t>年政府信息公开工作年度报告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78"/>
        <w:spacing w:line="560" w:lineRule="exact"/>
        <w:ind w:firstLine="630"/>
        <w:contextualSpacing/>
        <w:rPr>
          <w:rStyle w:val="77"/>
          <w:rFonts w:eastAsia="方正仿宋_GBK" w:hint="eastAsia"/>
          <w:sz w:val="32"/>
          <w:szCs w:val="32"/>
        </w:rPr>
      </w:pPr>
      <w:r>
        <w:rPr>
          <w:rStyle w:val="77"/>
          <w:rFonts w:eastAsia="方正仿宋_GBK" w:hint="eastAsia"/>
          <w:sz w:val="32"/>
          <w:szCs w:val="32"/>
        </w:rPr>
        <w:t>蓟州海关深入贯彻</w:t>
      </w:r>
      <w:r>
        <w:rPr>
          <w:rStyle w:val="77"/>
          <w:rFonts w:eastAsia="方正仿宋_GBK" w:hint="eastAsia"/>
          <w:sz w:val="32"/>
          <w:szCs w:val="32"/>
          <w:lang w:eastAsia="zh-CN"/>
        </w:rPr>
        <w:t>落实</w:t>
      </w:r>
      <w:r>
        <w:rPr>
          <w:rStyle w:val="77"/>
          <w:rFonts w:eastAsia="方正仿宋_GBK" w:hint="eastAsia"/>
          <w:sz w:val="32"/>
          <w:szCs w:val="32"/>
        </w:rPr>
        <w:t>《中华人民共和国政府信息公开条例》，严格落实海关总署政务公开工作部署，聚焦建强专业队伍、健全工作机制、加强政策解读、优化公开服务等关键环节，全面提升政府信息公开规范化、专业化水平，为打造“阳光海关”、优化营商环境提供坚实支撑。</w:t>
      </w:r>
    </w:p>
    <w:p>
      <w:pPr>
        <w:spacing w:line="560" w:lineRule="exact"/>
        <w:ind w:firstLine="630"/>
        <w:contextualSpacing/>
        <w:rPr>
          <w:rStyle w:val="77"/>
          <w:rFonts w:eastAsia="方正楷体_GBK" w:cs="方正楷体_GBK"/>
          <w:b/>
          <w:bCs/>
          <w:szCs w:val="32"/>
          <w:lang w:bidi="ar-SA"/>
        </w:rPr>
      </w:pPr>
      <w:r>
        <w:rPr>
          <w:rStyle w:val="77"/>
          <w:rFonts w:eastAsia="方正楷体_GBK" w:cs="方正楷体_GBK" w:hint="eastAsia"/>
          <w:b/>
          <w:bCs/>
          <w:szCs w:val="32"/>
          <w:lang w:bidi="ar-SA"/>
        </w:rPr>
        <w:t>（一）建强专业队伍，夯实工作基础。</w:t>
      </w:r>
    </w:p>
    <w:p>
      <w:pPr>
        <w:spacing w:line="560" w:lineRule="exact"/>
        <w:ind w:firstLine="630"/>
        <w:contextualSpacing/>
      </w:pPr>
      <w:r>
        <w:rPr>
          <w:rStyle w:val="77"/>
          <w:rFonts w:hint="eastAsia"/>
          <w:szCs w:val="32"/>
        </w:rPr>
        <w:t>加强政府信息公开工作人才队伍建设，通过组织学习《中华人民共和国政府信息公开条例》《天津海关政府信息公开工作规程》和</w:t>
      </w:r>
      <w:r>
        <w:rPr>
          <w:rFonts w:hint="eastAsia"/>
          <w:color w:val="000000"/>
          <w:sz w:val="33"/>
          <w:szCs w:val="33"/>
        </w:rPr>
        <w:t>《天津海关基层信访工作指导手册》，</w:t>
      </w:r>
      <w:r>
        <w:rPr>
          <w:rStyle w:val="77"/>
          <w:rFonts w:hint="eastAsia"/>
          <w:szCs w:val="32"/>
        </w:rPr>
        <w:t>进一步夯实了蓟州海关政府信息公开工作基础。</w:t>
      </w:r>
    </w:p>
    <w:p>
      <w:pPr>
        <w:spacing w:line="560" w:lineRule="exact"/>
        <w:ind w:firstLine="630"/>
        <w:contextualSpacing/>
        <w:rPr>
          <w:rStyle w:val="77"/>
          <w:rFonts w:eastAsia="方正楷体_GBK" w:cs="方正楷体_GBK"/>
          <w:b/>
          <w:bCs/>
          <w:szCs w:val="32"/>
          <w:lang w:bidi="ar-SA"/>
        </w:rPr>
      </w:pPr>
      <w:r>
        <w:rPr>
          <w:rStyle w:val="77"/>
          <w:rFonts w:eastAsia="方正楷体_GBK" w:cs="方正楷体_GBK" w:hint="eastAsia"/>
          <w:b/>
          <w:bCs/>
          <w:szCs w:val="32"/>
          <w:lang w:bidi="ar-SA"/>
        </w:rPr>
        <w:t>（二）健全工作机制，提升公开质效。</w:t>
      </w:r>
    </w:p>
    <w:p>
      <w:pPr>
        <w:spacing w:line="560" w:lineRule="exact"/>
        <w:ind w:firstLine="630"/>
        <w:contextualSpacing/>
        <w:rPr>
          <w:rStyle w:val="77"/>
          <w:rFonts w:cs="方正楷体_GBK" w:hint="eastAsia"/>
          <w:bCs/>
          <w:szCs w:val="32"/>
          <w:lang w:bidi="ar-SA"/>
        </w:rPr>
      </w:pPr>
      <w:r>
        <w:rPr>
          <w:rStyle w:val="77"/>
          <w:rFonts w:cs="方正楷体_GBK" w:hint="eastAsia"/>
          <w:bCs/>
          <w:szCs w:val="32"/>
          <w:lang w:bidi="ar-SA"/>
        </w:rPr>
        <w:t>严格执行主动公开信息“三审三校”制度，确保信息发布准确；规范依申请公开“接收—登记—办理—答复—归档”流程，明确各环节时限与责任主体。建立信息公开与业务工作融合机制，将公开要求嵌入政策宣传、执法监管等环节，实现同部署、同落实。全年开展“关长送政策上门”活动36场，举办宣讲会、座谈会、实地调研等形式宣讲78次，参与170人次，政策宣讲活动5场，解答企业疑问120余条，解决企业困难40个，依托业务现场政务公开专栏发布政策信息60余条，实现政策精准落地。</w:t>
      </w:r>
    </w:p>
    <w:p>
      <w:pPr>
        <w:spacing w:line="560" w:lineRule="exact"/>
        <w:ind w:firstLine="630"/>
        <w:contextualSpacing/>
        <w:rPr>
          <w:rStyle w:val="77"/>
          <w:rFonts w:eastAsia="方正楷体_GBK" w:cs="方正楷体_GBK"/>
          <w:b/>
          <w:bCs/>
          <w:szCs w:val="32"/>
          <w:lang w:bidi="ar-SA"/>
        </w:rPr>
      </w:pPr>
      <w:r>
        <w:rPr>
          <w:rStyle w:val="77"/>
          <w:rFonts w:eastAsia="方正楷体_GBK" w:cs="方正楷体_GBK" w:hint="eastAsia"/>
          <w:b/>
          <w:bCs/>
          <w:szCs w:val="32"/>
          <w:lang w:bidi="ar-SA"/>
        </w:rPr>
        <w:t>（三）优化公开服务，保障合法权益。</w:t>
      </w:r>
    </w:p>
    <w:p>
      <w:pPr>
        <w:spacing w:line="560" w:lineRule="exact"/>
        <w:ind w:firstLine="630"/>
        <w:contextualSpacing/>
        <w:rPr>
          <w:rStyle w:val="77"/>
          <w:rFonts w:hint="eastAsia"/>
          <w:szCs w:val="32"/>
        </w:rPr>
      </w:pPr>
      <w:r>
        <w:rPr>
          <w:rStyle w:val="77"/>
          <w:rFonts w:cs="方正楷体_GBK" w:hint="eastAsia"/>
          <w:bCs/>
          <w:szCs w:val="32"/>
          <w:lang w:bidi="ar-SA"/>
        </w:rPr>
        <w:t>严格对照海关系统公开目录，聚焦法规政策、执法监管、政务服务等重点领域，全年主动公开信息70余条，及时更新机构职能、权责清单等基础信息，规范公开公示行政处罚、行政许可办理结果等执法信息，通过官网专栏、业务大厅公告栏等多渠道发布，信息及时率、准确率均达100%。蓟州海关2025年</w:t>
      </w:r>
      <w:r>
        <w:rPr>
          <w:rFonts w:hint="eastAsia"/>
          <w:szCs w:val="32"/>
        </w:rPr>
        <w:t>通过天津海关门户网站政府信息公开专栏</w:t>
      </w:r>
      <w:r>
        <w:rPr>
          <w:rStyle w:val="77"/>
          <w:rFonts w:cs="方正楷体_GBK"/>
          <w:bCs/>
          <w:szCs w:val="32"/>
          <w:lang w:bidi="ar-SA"/>
        </w:rPr>
        <w:t>公开政府信息</w:t>
      </w:r>
      <w:r>
        <w:rPr>
          <w:rStyle w:val="77"/>
          <w:rFonts w:cs="方正楷体_GBK" w:hint="eastAsia"/>
          <w:bCs/>
          <w:szCs w:val="32"/>
          <w:lang w:bidi="ar-SA"/>
        </w:rPr>
        <w:t>13</w:t>
      </w:r>
      <w:r>
        <w:rPr>
          <w:rStyle w:val="77"/>
          <w:rFonts w:cs="方正楷体_GBK"/>
          <w:bCs/>
          <w:szCs w:val="32"/>
          <w:lang w:bidi="ar-SA"/>
        </w:rPr>
        <w:t>条，涵盖了蓟州海关政府信息公开工作年报、</w:t>
      </w:r>
      <w:r>
        <w:rPr>
          <w:rStyle w:val="77"/>
          <w:rFonts w:cs="方正楷体_GBK" w:hint="eastAsia"/>
          <w:bCs/>
          <w:szCs w:val="32"/>
          <w:lang w:bidi="ar-SA"/>
        </w:rPr>
        <w:t>“</w:t>
      </w:r>
      <w:r>
        <w:rPr>
          <w:rStyle w:val="77"/>
          <w:rFonts w:cs="方正楷体_GBK"/>
          <w:bCs/>
          <w:szCs w:val="32"/>
          <w:lang w:bidi="ar-SA"/>
        </w:rPr>
        <w:t>双随机 一公开</w:t>
      </w:r>
      <w:r>
        <w:rPr>
          <w:rStyle w:val="77"/>
          <w:rFonts w:cs="方正楷体_GBK" w:hint="eastAsia"/>
          <w:bCs/>
          <w:szCs w:val="32"/>
          <w:lang w:bidi="ar-SA"/>
        </w:rPr>
        <w:t>”</w:t>
      </w:r>
      <w:r>
        <w:rPr>
          <w:rStyle w:val="77"/>
          <w:rFonts w:cs="方正楷体_GBK"/>
          <w:bCs/>
          <w:szCs w:val="32"/>
          <w:lang w:bidi="ar-SA"/>
        </w:rPr>
        <w:t>等方面内容</w:t>
      </w:r>
      <w:r>
        <w:rPr>
          <w:rStyle w:val="77"/>
          <w:rFonts w:cs="方正楷体_GBK" w:hint="eastAsia"/>
          <w:bCs/>
          <w:szCs w:val="32"/>
          <w:lang w:bidi="ar-SA"/>
        </w:rPr>
        <w:t>，</w:t>
      </w:r>
      <w:r>
        <w:rPr>
          <w:rStyle w:val="77"/>
          <w:rFonts w:cs="方正楷体_GBK"/>
          <w:bCs/>
          <w:szCs w:val="32"/>
          <w:lang w:bidi="ar-SA"/>
        </w:rPr>
        <w:t>提高了蓟州海关工作的透明度，满足了行政相对人对政府信息的关注和需求。</w:t>
      </w:r>
      <w:r>
        <w:rPr>
          <w:rStyle w:val="77"/>
          <w:szCs w:val="32"/>
        </w:rPr>
        <w:t>蓟州海关依法处理政府信息公开申请，确保行政相对人能够依法获得所需要的政府信息，202</w:t>
      </w:r>
      <w:r>
        <w:rPr>
          <w:rStyle w:val="77"/>
          <w:rFonts w:hint="eastAsia"/>
          <w:szCs w:val="32"/>
        </w:rPr>
        <w:t>5</w:t>
      </w:r>
      <w:r>
        <w:rPr>
          <w:rStyle w:val="77"/>
          <w:szCs w:val="32"/>
        </w:rPr>
        <w:t>年共受理政府信息公开申请1件，依法</w:t>
      </w:r>
      <w:r>
        <w:rPr>
          <w:rStyle w:val="77"/>
          <w:rFonts w:hint="eastAsia"/>
          <w:szCs w:val="32"/>
        </w:rPr>
        <w:t>依规</w:t>
      </w:r>
      <w:r>
        <w:rPr>
          <w:rStyle w:val="77"/>
          <w:szCs w:val="32"/>
        </w:rPr>
        <w:t xml:space="preserve">予以答复1件，满足了申请人的诉求。 </w:t>
      </w:r>
    </w:p>
    <w:p>
      <w:pPr>
        <w:pStyle w:val="79"/>
        <w:autoSpaceDN w:val="0"/>
        <w:adjustRightInd w:val="0"/>
        <w:spacing w:line="560" w:lineRule="exact"/>
        <w:ind w:firstLineChars="200" w:firstLine="640"/>
        <w:contextualSpacing/>
        <w:rPr>
          <w:rFonts w:ascii="Times New Roman" w:eastAsia="方正黑体_GBK" w:cs="楷体_GB2312" w:hAnsi="Times New Roman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Times New Roman" w:eastAsia="方正黑体_GBK" w:cs="楷体_GB2312" w:hAnsi="Times New Roman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spacing w:line="560" w:lineRule="exact"/>
              <w:ind w:firstLineChars="1200" w:firstLine="2880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8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8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8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="120" w:afterAutospacing="0" w:line="560" w:lineRule="exact"/>
        <w:ind w:firstLineChars="150" w:firstLine="480"/>
        <w:jc w:val="both"/>
        <w:rPr>
          <w:rFonts w:cs="宋体" w:hint="eastAsia"/>
          <w:szCs w:val="24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51"/>
        <w:adjustRightInd w:val="0"/>
        <w:ind w:firstLineChars="200" w:firstLine="624"/>
        <w:contextualSpacing/>
        <w:rPr>
          <w:rFonts w:eastAsia="方正楷体_GBK"/>
          <w:b/>
          <w:bCs/>
        </w:rPr>
      </w:pPr>
      <w:r>
        <w:rPr>
          <w:rFonts w:eastAsia="方正楷体_GBK"/>
          <w:b/>
          <w:bCs/>
        </w:rPr>
        <w:t>（一）202</w:t>
      </w:r>
      <w:r>
        <w:rPr>
          <w:rFonts w:eastAsia="方正楷体_GBK" w:hint="eastAsia"/>
          <w:b/>
          <w:bCs/>
        </w:rPr>
        <w:t>4</w:t>
      </w:r>
      <w:r>
        <w:rPr>
          <w:rFonts w:eastAsia="方正楷体_GBK"/>
          <w:b/>
          <w:bCs/>
        </w:rPr>
        <w:t>年年报中所提问题整改情况。</w:t>
      </w:r>
    </w:p>
    <w:p>
      <w:pPr>
        <w:pStyle w:val="51"/>
        <w:adjustRightInd w:val="0"/>
        <w:ind w:firstLineChars="200" w:firstLine="624"/>
        <w:contextualSpacing/>
        <w:rPr>
          <w:rStyle w:val="77"/>
        </w:rPr>
      </w:pPr>
      <w:r>
        <w:rPr>
          <w:rFonts w:hint="eastAsia"/>
        </w:rPr>
        <w:t>上一</w:t>
      </w:r>
      <w:r>
        <w:t>年</w:t>
      </w:r>
      <w:r>
        <w:rPr>
          <w:rFonts w:hint="eastAsia"/>
        </w:rPr>
        <w:t>存在的</w:t>
      </w:r>
      <w:r>
        <w:t>问题：</w:t>
      </w:r>
      <w:r>
        <w:rPr>
          <w:szCs w:val="28"/>
        </w:rPr>
        <w:t>一是相关人员专业素养还需提高，在天津海关政务公开依申请公开测试中，相关人员因不熟悉政府公开相关制度导致答复书出现</w:t>
      </w:r>
      <w:r>
        <w:t>漏答题目、救济途径错误等相关方面出现问题；二是分关政府信息区域建设还需完善等。</w:t>
      </w:r>
      <w:r>
        <w:rPr>
          <w:szCs w:val="28"/>
        </w:rPr>
        <w:t>整改情况：相关人员</w:t>
      </w:r>
      <w:r>
        <w:rPr>
          <w:rFonts w:hint="eastAsia"/>
          <w:szCs w:val="28"/>
        </w:rPr>
        <w:t>通过</w:t>
      </w:r>
      <w:r>
        <w:rPr>
          <w:szCs w:val="28"/>
        </w:rPr>
        <w:t>深入学习政府公开相关制度，学习其他隶属海关</w:t>
      </w:r>
      <w:r>
        <w:rPr>
          <w:rFonts w:hint="eastAsia"/>
          <w:szCs w:val="28"/>
        </w:rPr>
        <w:t>优秀经验做法</w:t>
      </w:r>
      <w:r>
        <w:rPr>
          <w:szCs w:val="28"/>
        </w:rPr>
        <w:t>、优秀政府公开区域建设和优秀案例</w:t>
      </w:r>
      <w:r>
        <w:rPr>
          <w:rFonts w:hint="eastAsia"/>
          <w:szCs w:val="28"/>
        </w:rPr>
        <w:t>，上一年存在的问题已全部整改</w:t>
      </w:r>
      <w:r>
        <w:rPr>
          <w:szCs w:val="28"/>
        </w:rPr>
        <w:t>。</w:t>
      </w:r>
    </w:p>
    <w:p>
      <w:pPr>
        <w:snapToGrid w:val="0"/>
        <w:spacing w:line="560" w:lineRule="exact"/>
        <w:contextualSpacing/>
        <w:jc w:val="left"/>
        <w:rPr>
          <w:rFonts w:eastAsia="方正楷体_GBK"/>
          <w:b/>
          <w:bCs/>
        </w:rPr>
      </w:pPr>
      <w:r>
        <w:rPr>
          <w:rFonts w:eastAsia="方正楷体_GBK" w:hint="eastAsia"/>
          <w:b/>
          <w:bCs/>
        </w:rPr>
        <w:t xml:space="preserve">   （二）目前存在问题。</w:t>
      </w:r>
    </w:p>
    <w:p>
      <w:pPr>
        <w:snapToGrid w:val="0"/>
        <w:spacing w:line="560" w:lineRule="exact"/>
        <w:ind w:firstLineChars="200" w:firstLine="640"/>
        <w:contextualSpacing/>
        <w:jc w:val="left"/>
        <w:rPr>
          <w:rStyle w:val="77"/>
          <w:rFonts w:cs="方正楷体_GBK" w:hint="eastAsia"/>
          <w:bCs/>
          <w:szCs w:val="32"/>
          <w:lang w:bidi="ar-SA"/>
        </w:rPr>
      </w:pPr>
      <w:r>
        <w:rPr>
          <w:rStyle w:val="77"/>
          <w:rFonts w:cs="方正楷体_GBK" w:hint="eastAsia"/>
          <w:bCs/>
          <w:szCs w:val="32"/>
          <w:lang w:bidi="ar-SA"/>
        </w:rPr>
        <w:t>当前政策解读形式单一，需进一步创新。下一步，我关将持续加强队伍建设，创新解读方式，不断提升政府信息公开工作质效。</w:t>
      </w: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21"/>
        <w:tabs>
          <w:tab w:val="center" w:pos="4153"/>
          <w:tab w:val="right" w:pos="8306"/>
        </w:tabs>
        <w:spacing w:line="560" w:lineRule="exact"/>
        <w:ind w:firstLineChars="200" w:firstLine="624"/>
      </w:pPr>
      <w:r>
        <w:rPr>
          <w:rStyle w:val="77"/>
          <w:rFonts w:hint="eastAsia"/>
          <w:spacing w:val="-4"/>
          <w:sz w:val="32"/>
          <w:szCs w:val="20"/>
        </w:rPr>
        <w:t>无。</w:t>
      </w:r>
    </w:p>
    <w:sectPr>
      <w:footerReference w:type="default" r:id="rId2"/>
      <w:footerReference w:type="first" r:id="rId3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D7794F8D"/>
    <w:multiLevelType w:val="singleLevel"/>
    <w:tmpl w:val="D7794F8D"/>
    <w:lvl w:ilvl="0">
      <w:start w:val="1"/>
      <w:numFmt w:val="decimal"/>
      <w:lvlRestart w:val="0"/>
      <w:pStyle w:val="15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/>
  <w:bordersDoNotSurroundFooter/>
  <w:trackRevisions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Number 2"/>
    <w:basedOn w:val="0"/>
    <w:pPr>
      <w:numPr>
        <w:ilvl w:val="0"/>
        <w:numId w:val="1"/>
      </w:numPr>
    </w:pPr>
  </w:style>
  <w:style w:type="paragraph" w:styleId="16">
    <w:name w:val="index 8"/>
    <w:basedOn w:val="0"/>
    <w:next w:val="0"/>
    <w:pPr>
      <w:ind w:left="2940"/>
    </w:pPr>
  </w:style>
  <w:style w:type="paragraph" w:styleId="17">
    <w:name w:val="index 5"/>
    <w:basedOn w:val="0"/>
    <w:next w:val="0"/>
    <w:pPr>
      <w:ind w:left="1680"/>
    </w:pPr>
  </w:style>
  <w:style w:type="paragraph" w:styleId="18">
    <w:name w:val="annotation text"/>
    <w:basedOn w:val="0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9">
    <w:name w:val="index 6"/>
    <w:basedOn w:val="0"/>
    <w:next w:val="0"/>
    <w:pPr>
      <w:ind w:left="210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next w:val="0"/>
  </w:style>
  <w:style w:type="paragraph" w:styleId="24">
    <w:name w:val="index 7"/>
    <w:basedOn w:val="0"/>
    <w:next w:val="0"/>
    <w:pPr>
      <w:ind w:left="2520"/>
    </w:pPr>
  </w:style>
  <w:style w:type="paragraph" w:styleId="25">
    <w:name w:val="toc 2"/>
    <w:basedOn w:val="0"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annotation subject"/>
    <w:basedOn w:val="18"/>
    <w:next w:val="18"/>
    <w:rPr>
      <w:b/>
      <w:bCs/>
    </w:rPr>
  </w:style>
  <w:style w:type="character" w:styleId="28">
    <w:name w:val="page number"/>
    <w:basedOn w:val="10"/>
  </w:style>
  <w:style w:type="paragraph" w:customStyle="1" w:styleId="29">
    <w:name w:val="样式 三号"/>
    <w:next w:val="3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0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2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8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 小四"/>
    <w:next w:val="35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0">
    <w:name w:val="样式 6 小四"/>
    <w:next w:val="3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1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3">
    <w:name w:val="样式 50 三号"/>
    <w:next w:val="1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4">
    <w:name w:val="样式 13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2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5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0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1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customStyle="1" w:styleId="77">
    <w:name w:val="unnamed11"/>
  </w:style>
  <w:style w:type="paragraph" w:customStyle="1" w:styleId="78">
    <w:name w:val="样式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11 磅"/>
    <w:next w:val="0"/>
    <w:pPr>
      <w:spacing w:after="200" w:line="276" w:lineRule="auto"/>
    </w:pPr>
    <w:rPr>
      <w:rFonts w:ascii="Calibri" w:eastAsia="宋体" w:cs="Arial" w:hAnsi="Calibri"/>
      <w:sz w:val="22"/>
      <w:szCs w:val="22"/>
      <w:lang w:val="en-US" w:eastAsia="zh-CN" w:bidi="ar-SA"/>
    </w:rPr>
  </w:style>
  <w:style w:type="paragraph" w:customStyle="1" w:styleId="80">
    <w:name w:val="样式 "/>
    <w:rPr>
      <w:rFonts w:ascii="Times New Roman" w:eastAsia="楷体_GB2312" w:cs="Times New Roman" w:hAnsi="Times New Roman"/>
      <w:sz w:val="20"/>
      <w:szCs w:val="20"/>
      <w:lang w:val="en-US" w:eastAsia="zh-CN" w:bidi="ar-SA"/>
    </w:rPr>
  </w:style>
  <w:style w:type="paragraph" w:customStyle="1" w:styleId="81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2">
    <w:name w:val="样式 1 "/>
    <w:rPr>
      <w:rFonts w:ascii="Times New Roman" w:eastAsia="楷体_GB2312" w:cs="Times New Roman" w:hAnsi="Times New Roman"/>
      <w:sz w:val="20"/>
      <w:szCs w:val="20"/>
      <w:lang w:val="en-US" w:eastAsia="zh-CN" w:bidi="ar-SA"/>
    </w:rPr>
  </w:style>
  <w:style w:type="paragraph" w:customStyle="1" w:styleId="83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4">
    <w:name w:val="样式 21 10 磅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6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7">
    <w:name w:val="样式 2 "/>
    <w:rPr>
      <w:rFonts w:ascii="Times New Roman" w:eastAsia="楷体_GB2312" w:cs="Times New Roman" w:hAnsi="Times New Roman"/>
      <w:sz w:val="20"/>
      <w:szCs w:val="20"/>
      <w:lang w:val="en-US" w:eastAsia="zh-CN" w:bidi="ar-SA"/>
    </w:rPr>
  </w:style>
  <w:style w:type="paragraph" w:customStyle="1" w:styleId="88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9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0">
    <w:name w:val="样式 3 "/>
    <w:rPr>
      <w:rFonts w:ascii="Times New Roman" w:eastAsia="楷体_GB2312" w:cs="Times New Roman" w:hAnsi="Times New Roman"/>
      <w:sz w:val="20"/>
      <w:szCs w:val="20"/>
      <w:lang w:val="en-US" w:eastAsia="zh-CN" w:bidi="ar-SA"/>
    </w:rPr>
  </w:style>
  <w:style w:type="paragraph" w:customStyle="1" w:styleId="91">
    <w:name w:val="样式 8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7</Pages>
  <Words>1984</Words>
  <Characters>2030</Characters>
  <Lines>412</Lines>
  <Paragraphs>305</Paragraphs>
  <CharactersWithSpaces>2035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49</cp:revision>
  <cp:lastPrinted>2026-01-13T01:51:00Z</cp:lastPrinted>
  <dcterms:created xsi:type="dcterms:W3CDTF">2024-01-24T02:46:00Z</dcterms:created>
  <dcterms:modified xsi:type="dcterms:W3CDTF">2026-01-30T03:30:25Z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eyJoZGlkIjoiYzk2MDI5ZjA4MzQ4ZDQ0MTE4ZTQ3YzhlOTc1MDMyMGEifQ==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BB47552F274440BBB12195A41B23BD2F_13</vt:lpwstr>
  </property>
</Properties>
</file>