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50"/>
        <w:spacing w:line="580" w:lineRule="exact"/>
        <w:ind w:firstLine="420"/>
        <w:jc w:val="center"/>
        <w:pPrChange w:id="0" w:author="苗鑫" w:date="2026-01-30T11:13:00Z">
          <w:pPr>
            <w:pStyle w:val="50"/>
            <w:spacing w:line="580" w:lineRule="exact"/>
            <w:jc w:val="center"/>
          </w:pPr>
        </w:pPrChange>
        <w:rPr>
          <w:rFonts w:ascii="方正小标宋_GBK" w:eastAsia="方正小标宋_GBK" w:cs="方正小标宋_GBK" w:hint="eastAsia"/>
          <w:sz w:val="44"/>
          <w:szCs w:val="44"/>
          <w:lang w:bidi="ar-SA"/>
        </w:rPr>
      </w:pPr>
      <w:bookmarkStart w:id="0" w:name="_Hlk25540369"/>
      <w:bookmarkStart w:id="1" w:name="cogw__正文__file"/>
      <w:r>
        <w:rPr>
          <w:rFonts w:ascii="方正小标宋_GBK" w:eastAsia="方正小标宋_GBK" w:cs="方正小标宋_GBK" w:hint="eastAsia"/>
          <w:sz w:val="44"/>
          <w:szCs w:val="44"/>
          <w:lang w:bidi="ar-SA"/>
        </w:rPr>
        <w:t>静海海关2025年政府信息公开工作年度报告</w:t>
      </w:r>
      <w:bookmarkEnd w:id="0"/>
    </w:p>
    <w:p>
      <w:pPr>
        <w:pStyle w:val="27"/>
        <w:widowControl/>
        <w:shd w:val="clear" w:color="auto" w:fill="FFFFFF"/>
        <w:adjustRightInd w:val="0"/>
        <w:snapToGrid w:val="0"/>
        <w:spacing w:beforeAutospacing="0" w:afterAutospacing="0" w:line="560" w:lineRule="exact"/>
        <w:jc w:val="both"/>
        <w:rPr>
          <w:rFonts w:ascii="楷体_GB2312" w:eastAsia="楷体_GB2312" w:cs="楷体_GB2312" w:hint="eastAsia"/>
          <w:bCs/>
          <w:sz w:val="32"/>
          <w:szCs w:val="32"/>
          <w:shd w:val="clear" w:color="auto" w:fill="FFFFFF"/>
          <w:lang w:bidi="ar-SA"/>
        </w:rPr>
      </w:pPr>
    </w:p>
    <w:p>
      <w:pPr>
        <w:pStyle w:val="78"/>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hint="eastAsia"/>
          <w:bCs/>
          <w:sz w:val="32"/>
          <w:szCs w:val="32"/>
          <w:lang w:bidi="ar-SA"/>
        </w:rPr>
      </w:pPr>
      <w:r>
        <w:rPr>
          <w:rFonts w:ascii="方正黑体_GBK" w:eastAsia="方正黑体_GBK" w:cs="楷体_GB2312" w:hint="eastAsia"/>
          <w:bCs/>
          <w:sz w:val="32"/>
          <w:szCs w:val="32"/>
          <w:shd w:val="clear" w:color="auto" w:fill="FFFFFF"/>
          <w:lang w:bidi="ar-SA"/>
        </w:rPr>
        <w:t>一、总体情况</w:t>
      </w:r>
    </w:p>
    <w:p>
      <w:pPr>
        <w:spacing w:line="560" w:lineRule="exact"/>
        <w:ind w:firstLineChars="200" w:firstLine="640"/>
        <w:rPr>
          <w:rFonts w:hint="eastAsia"/>
          <w:szCs w:val="32"/>
        </w:rPr>
      </w:pPr>
      <w:r>
        <w:rPr>
          <w:rStyle w:val="79"/>
          <w:szCs w:val="32"/>
        </w:rPr>
        <w:t>202</w:t>
      </w:r>
      <w:r>
        <w:rPr>
          <w:rStyle w:val="79"/>
          <w:rFonts w:hint="eastAsia"/>
          <w:szCs w:val="32"/>
        </w:rPr>
        <w:t>5</w:t>
      </w:r>
      <w:r>
        <w:rPr>
          <w:rStyle w:val="79"/>
          <w:szCs w:val="32"/>
        </w:rPr>
        <w:t>年，</w:t>
      </w:r>
      <w:r>
        <w:rPr>
          <w:rStyle w:val="79"/>
          <w:rFonts w:hint="eastAsia"/>
          <w:szCs w:val="32"/>
        </w:rPr>
        <w:t>在海关总署、天津海关的坚强领导下，</w:t>
      </w:r>
      <w:r>
        <w:rPr>
          <w:rStyle w:val="79"/>
          <w:szCs w:val="32"/>
        </w:rPr>
        <w:t>静海海关</w:t>
      </w:r>
      <w:r>
        <w:rPr>
          <w:rFonts w:hint="eastAsia"/>
          <w:szCs w:val="32"/>
        </w:rPr>
        <w:t>进一步提升基层政务公开工作水平</w:t>
      </w:r>
      <w:r>
        <w:rPr>
          <w:szCs w:val="32"/>
        </w:rPr>
        <w:t>，</w:t>
      </w:r>
      <w:r>
        <w:rPr>
          <w:rFonts w:hint="eastAsia"/>
          <w:szCs w:val="32"/>
        </w:rPr>
        <w:t>统筹协调，强化监督考核，持续跟踪工作开展情况。</w:t>
      </w:r>
      <w:r>
        <w:rPr>
          <w:rStyle w:val="79"/>
          <w:rFonts w:hint="eastAsia"/>
          <w:szCs w:val="32"/>
        </w:rPr>
        <w:t>严格落实《中华人民共和国政府信息公开条例》《海关总署办公厅关于全面推进海关领域基层政务公开标准化工作的通知》《天津海关政府信息公开工作规程》以及《天津海关政务公开基层实操工作手册》《天津海关基层政务公开指导手册》等内容，围绕基层公开标准目录，积极推动政府信息公开工作高质量发展。</w:t>
      </w:r>
    </w:p>
    <w:p>
      <w:pPr>
        <w:spacing w:line="560" w:lineRule="exact"/>
        <w:ind w:firstLineChars="200" w:firstLine="640"/>
        <w:rPr>
          <w:rFonts w:ascii="方正楷体_GBK" w:eastAsia="方正楷体_GBK" w:hint="eastAsia"/>
          <w:b/>
          <w:szCs w:val="32"/>
        </w:rPr>
      </w:pPr>
      <w:r>
        <w:rPr>
          <w:rFonts w:ascii="方正楷体_GBK" w:eastAsia="方正楷体_GBK" w:hint="eastAsia"/>
          <w:b/>
          <w:szCs w:val="32"/>
        </w:rPr>
        <w:t>（一）完善公开制度，增强公开实效</w:t>
      </w:r>
    </w:p>
    <w:p>
      <w:pPr>
        <w:spacing w:line="560" w:lineRule="exact"/>
        <w:ind w:firstLineChars="200" w:firstLine="640"/>
        <w:rPr>
          <w:rFonts w:hint="eastAsia"/>
          <w:szCs w:val="32"/>
        </w:rPr>
      </w:pPr>
      <w:r>
        <w:rPr>
          <w:szCs w:val="32"/>
        </w:rPr>
        <w:t>进一步明确内部办事流程和责任分工，按照</w:t>
      </w:r>
      <w:r>
        <w:rPr>
          <w:rFonts w:hint="eastAsia"/>
          <w:szCs w:val="32"/>
        </w:rPr>
        <w:t>“</w:t>
      </w:r>
      <w:r>
        <w:rPr>
          <w:szCs w:val="32"/>
        </w:rPr>
        <w:t>谁发布，谁审核</w:t>
      </w:r>
      <w:r>
        <w:rPr>
          <w:rFonts w:hint="eastAsia"/>
          <w:szCs w:val="32"/>
        </w:rPr>
        <w:t>”“</w:t>
      </w:r>
      <w:r>
        <w:rPr>
          <w:szCs w:val="32"/>
        </w:rPr>
        <w:t>谁审核，谁负责</w:t>
      </w:r>
      <w:r>
        <w:rPr>
          <w:rFonts w:hint="eastAsia"/>
          <w:szCs w:val="32"/>
        </w:rPr>
        <w:t>”</w:t>
      </w:r>
      <w:r>
        <w:rPr>
          <w:szCs w:val="32"/>
        </w:rPr>
        <w:t>的原则，严格执行信息发布逐级审核机制，在做好</w:t>
      </w:r>
      <w:r>
        <w:rPr>
          <w:rFonts w:hint="eastAsia"/>
          <w:szCs w:val="32"/>
        </w:rPr>
        <w:t>“</w:t>
      </w:r>
      <w:r>
        <w:rPr>
          <w:szCs w:val="32"/>
        </w:rPr>
        <w:t>决策、执行、管理、服务、结果</w:t>
      </w:r>
      <w:r>
        <w:rPr>
          <w:rFonts w:hint="eastAsia"/>
          <w:szCs w:val="32"/>
        </w:rPr>
        <w:t>”</w:t>
      </w:r>
      <w:r>
        <w:rPr>
          <w:szCs w:val="32"/>
        </w:rPr>
        <w:t>公开的同时，严把政治关、法律关、政策关、保密关、文字关，确保政务公开工作扎实有序</w:t>
      </w:r>
      <w:r>
        <w:rPr>
          <w:rFonts w:hint="eastAsia"/>
          <w:szCs w:val="32"/>
        </w:rPr>
        <w:t>。</w:t>
      </w:r>
      <w:r>
        <w:rPr>
          <w:szCs w:val="32"/>
        </w:rPr>
        <w:t>定期</w:t>
      </w:r>
      <w:r>
        <w:rPr>
          <w:rFonts w:hint="eastAsia"/>
          <w:szCs w:val="32"/>
        </w:rPr>
        <w:t>自查后台管理</w:t>
      </w:r>
      <w:r>
        <w:rPr>
          <w:szCs w:val="32"/>
        </w:rPr>
        <w:t>网站发布的公开内容，</w:t>
      </w:r>
      <w:r>
        <w:rPr>
          <w:rFonts w:ascii="方正仿宋_GBK" w:hint="eastAsia"/>
          <w:szCs w:val="32"/>
        </w:rPr>
        <w:t>及时更新《静海海关政务公开栏文件更新台账》</w:t>
      </w:r>
      <w:r>
        <w:rPr>
          <w:szCs w:val="32"/>
        </w:rPr>
        <w:t>。</w:t>
      </w:r>
      <w:r>
        <w:rPr>
          <w:rFonts w:hint="eastAsia"/>
          <w:szCs w:val="32"/>
        </w:rPr>
        <w:t>动态更新维护一楼报关大厅政务公开栏</w:t>
      </w:r>
      <w:r>
        <w:rPr>
          <w:szCs w:val="32"/>
        </w:rPr>
        <w:t>公开的</w:t>
      </w:r>
      <w:r>
        <w:rPr>
          <w:rFonts w:hint="eastAsia"/>
          <w:szCs w:val="32"/>
        </w:rPr>
        <w:t>总署及关区最新政策及规范性文件、业务申请的流程和事项以及申请材料示范文本等内容，及时清理过期内容，</w:t>
      </w:r>
      <w:r>
        <w:rPr>
          <w:szCs w:val="32"/>
        </w:rPr>
        <w:t>及时主动公开行政许可、行政处罚、行政检查等信息，确保公众及时知晓公开内容</w:t>
      </w:r>
      <w:r>
        <w:rPr>
          <w:rFonts w:hint="eastAsia"/>
          <w:szCs w:val="32"/>
        </w:rPr>
        <w:t>。</w:t>
      </w:r>
    </w:p>
    <w:p>
      <w:pPr>
        <w:spacing w:line="560" w:lineRule="exact"/>
        <w:ind w:firstLineChars="200" w:firstLine="640"/>
        <w:rPr>
          <w:rFonts w:ascii="方正楷体_GBK" w:eastAsia="方正楷体_GBK" w:hint="eastAsia"/>
          <w:b/>
          <w:szCs w:val="32"/>
        </w:rPr>
      </w:pPr>
      <w:r>
        <w:rPr>
          <w:rFonts w:ascii="方正楷体_GBK" w:eastAsia="方正楷体_GBK" w:hint="eastAsia"/>
          <w:b/>
          <w:szCs w:val="32"/>
        </w:rPr>
        <w:t>（二）加强政策解读，提升公开质量。</w:t>
      </w:r>
    </w:p>
    <w:p>
      <w:pPr>
        <w:pStyle w:val="115"/>
        <w:spacing w:line="560" w:lineRule="exact"/>
        <w:ind w:firstLineChars="200" w:firstLine="640"/>
        <w:rPr>
          <w:rFonts w:ascii="方正仿宋_GBK" w:hint="eastAsia"/>
          <w:szCs w:val="32"/>
        </w:rPr>
      </w:pPr>
      <w:r>
        <w:rPr>
          <w:rFonts w:ascii="方正仿宋_GBK" w:hint="eastAsia"/>
          <w:szCs w:val="32"/>
        </w:rPr>
        <w:t>深入调研了解不同企业的政策需求，建立完善政策讲解资料库，加强做好政策解读的源头信息制作，丰富新媒体稿件的内容。在报关大厅办事窗口宣传讲解海关政策法规，动态更新宣传海报、电子大屏、宣传手册、微信公众号传递最新的海关政策。通过关企座谈会、关企交流会、“线上+线下”联动讲解的方式，收集回应解决海关业务办理过程中的疑难问题，随时答复企业疑问。编制《静海海关公平贸易月报》</w:t>
      </w:r>
      <w:r>
        <w:rPr>
          <w:szCs w:val="32"/>
        </w:rPr>
        <w:t>1</w:t>
      </w:r>
      <w:r>
        <w:rPr>
          <w:rFonts w:hint="eastAsia"/>
          <w:szCs w:val="32"/>
        </w:rPr>
        <w:t>2</w:t>
      </w:r>
      <w:r>
        <w:rPr>
          <w:rFonts w:ascii="方正仿宋_GBK" w:hint="eastAsia"/>
          <w:szCs w:val="32"/>
        </w:rPr>
        <w:t>期，助企应对国外技贸壁垒，指导企业用好减免税政策、原产地证书便利化改革措施等政策举措，帮助企业享受海关优惠政策和便利化措施。</w:t>
      </w:r>
    </w:p>
    <w:p>
      <w:pPr>
        <w:pStyle w:val="44"/>
        <w:adjustRightInd w:val="0"/>
        <w:snapToGrid w:val="0"/>
        <w:spacing w:beforeLines="50" w:before="218" w:afterLines="50" w:after="218"/>
        <w:ind w:firstLineChars="200" w:firstLine="624"/>
        <w:rPr>
          <w:rFonts w:ascii="方正黑体_GBK" w:eastAsia="方正黑体_GBK" w:cs="楷体_GB2312" w:hint="eastAsia"/>
          <w:bCs/>
          <w:szCs w:val="32"/>
          <w:shd w:val="clear" w:color="auto" w:fill="FFFFFF"/>
          <w:lang w:bidi="ar-SA"/>
        </w:rPr>
      </w:pPr>
      <w:r>
        <w:rPr>
          <w:rFonts w:ascii="方正黑体_GBK" w:eastAsia="方正黑体_GBK" w:cs="楷体_GB2312" w:hint="eastAsia"/>
          <w:bCs/>
          <w:szCs w:val="32"/>
          <w:shd w:val="clear" w:color="auto" w:fill="FFFFFF"/>
          <w:lang w:bidi="ar-SA"/>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第二十条第（一）项</w:t>
            </w:r>
          </w:p>
        </w:tc>
      </w:tr>
      <w:tr>
        <w:trPr>
          <w:trHeight w:val="680"/>
        </w:trPr>
        <w:tc>
          <w:tcPr>
            <w:tcW w:w="2720" w:type="dxa"/>
            <w:tcBorders>
              <w:left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信息内容</w:t>
            </w:r>
          </w:p>
        </w:tc>
        <w:tc>
          <w:tcPr>
            <w:tcW w:w="2183" w:type="dxa"/>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本年</w:t>
            </w:r>
            <w:r>
              <w:rPr>
                <w:kern w:val="0"/>
                <w:sz w:val="24"/>
                <w:szCs w:val="24"/>
              </w:rPr>
              <w:t>制发件数</w:t>
            </w:r>
          </w:p>
        </w:tc>
        <w:tc>
          <w:tcPr>
            <w:tcW w:w="1936" w:type="dxa"/>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本年废止件</w:t>
            </w:r>
            <w:r>
              <w:rPr>
                <w:kern w:val="0"/>
                <w:sz w:val="24"/>
                <w:szCs w:val="24"/>
              </w:rPr>
              <w:t>数</w:t>
            </w:r>
          </w:p>
        </w:tc>
        <w:tc>
          <w:tcPr>
            <w:tcW w:w="2156" w:type="dxa"/>
            <w:tcBorders>
              <w:bottom w:val="single" w:sz="8" w:space="0" w:color="auto"/>
              <w:right w:val="single" w:sz="8" w:space="0" w:color="auto"/>
            </w:tcBorders>
            <w:shd w:val="clear" w:color="auto" w:fill="auto"/>
            <w:vAlign w:val="center"/>
          </w:tcPr>
          <w:p>
            <w:pPr>
              <w:pStyle w:val="39"/>
              <w:widowControl/>
              <w:jc w:val="center"/>
              <w:rPr>
                <w:sz w:val="24"/>
                <w:szCs w:val="24"/>
              </w:rPr>
            </w:pPr>
            <w:r>
              <w:rPr>
                <w:rFonts w:ascii="宋体" w:cs="宋体" w:hint="eastAsia"/>
                <w:kern w:val="0"/>
                <w:sz w:val="24"/>
                <w:szCs w:val="24"/>
                <w:lang w:bidi="ar-SA"/>
              </w:rPr>
              <w:t>现行有效件数</w:t>
            </w:r>
          </w:p>
        </w:tc>
      </w:tr>
      <w:tr>
        <w:trPr>
          <w:trHeight w:val="510"/>
        </w:trPr>
        <w:tc>
          <w:tcPr>
            <w:tcW w:w="2720" w:type="dxa"/>
            <w:tcBorders>
              <w:left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adjustRightInd w:val="0"/>
              <w:snapToGrid w:val="0"/>
              <w:spacing w:line="260" w:lineRule="exact"/>
              <w:jc w:val="center"/>
              <w:rPr>
                <w:sz w:val="24"/>
                <w:szCs w:val="24"/>
              </w:rPr>
            </w:pPr>
            <w:r>
              <w:rPr>
                <w:rFonts w:ascii="宋体" w:cs="宋体" w:hint="eastAsia"/>
                <w:kern w:val="0"/>
                <w:sz w:val="24"/>
                <w:szCs w:val="24"/>
                <w:lang w:bidi="ar-SA"/>
              </w:rPr>
              <w:t>规章</w:t>
            </w:r>
          </w:p>
        </w:tc>
        <w:tc>
          <w:tcPr>
            <w:tcW w:w="2183"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1936"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2156"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r>
      <w:tr>
        <w:trPr>
          <w:trHeight w:val="510"/>
        </w:trPr>
        <w:tc>
          <w:tcPr>
            <w:tcW w:w="2720" w:type="dxa"/>
            <w:tcBorders>
              <w:left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adjustRightInd w:val="0"/>
              <w:snapToGrid w:val="0"/>
              <w:spacing w:line="260" w:lineRule="exact"/>
              <w:jc w:val="center"/>
              <w:rPr>
                <w:sz w:val="24"/>
                <w:szCs w:val="24"/>
              </w:rPr>
            </w:pPr>
            <w:r>
              <w:rPr>
                <w:rFonts w:ascii="宋体" w:cs="宋体" w:hint="eastAsia"/>
                <w:kern w:val="0"/>
                <w:sz w:val="24"/>
                <w:szCs w:val="24"/>
                <w:lang w:bidi="ar-SA"/>
              </w:rPr>
              <w:t>行政规范性文件</w:t>
            </w:r>
          </w:p>
        </w:tc>
        <w:tc>
          <w:tcPr>
            <w:tcW w:w="2183"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1936"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2156"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r>
      <w:tr>
        <w:trPr>
          <w:trHeight w:val="435"/>
        </w:trPr>
        <w:tc>
          <w:tcPr>
            <w:tcW w:w="8995" w:type="dxa"/>
            <w:gridSpan w:val="4"/>
            <w:tcBorders>
              <w:left w:val="single" w:sz="8" w:space="0" w:color="auto"/>
              <w:bottom w:val="single" w:sz="8" w:space="0" w:color="auto"/>
              <w:right w:val="single" w:sz="8" w:space="0" w:color="auto"/>
            </w:tcBorders>
            <w:shd w:val="clear" w:color="auto" w:fill="C6D9F1"/>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第二十条第（五）项</w:t>
            </w:r>
          </w:p>
        </w:tc>
      </w:tr>
      <w:tr>
        <w:trPr>
          <w:trHeight w:val="680"/>
        </w:trPr>
        <w:tc>
          <w:tcPr>
            <w:tcW w:w="2720" w:type="dxa"/>
            <w:tcBorders>
              <w:left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adjustRightInd w:val="0"/>
              <w:snapToGrid w:val="0"/>
              <w:spacing w:line="260" w:lineRule="exact"/>
              <w:jc w:val="center"/>
              <w:rPr>
                <w:sz w:val="24"/>
                <w:szCs w:val="24"/>
              </w:rPr>
            </w:pPr>
            <w:r>
              <w:rPr>
                <w:rFonts w:ascii="宋体" w:cs="宋体" w:hint="eastAsia"/>
                <w:kern w:val="0"/>
                <w:sz w:val="24"/>
                <w:szCs w:val="24"/>
                <w:lang w:bidi="ar-SA"/>
              </w:rPr>
              <w:t>信息内容</w:t>
            </w:r>
          </w:p>
        </w:tc>
        <w:tc>
          <w:tcPr>
            <w:tcW w:w="6275" w:type="dxa"/>
            <w:gridSpan w:val="3"/>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62"/>
              <w:widowControl/>
              <w:adjustRightInd w:val="0"/>
              <w:snapToGrid w:val="0"/>
              <w:spacing w:line="260" w:lineRule="exact"/>
              <w:jc w:val="center"/>
              <w:rPr>
                <w:sz w:val="24"/>
                <w:szCs w:val="24"/>
              </w:rPr>
            </w:pPr>
            <w:r>
              <w:rPr>
                <w:rFonts w:ascii="宋体" w:cs="宋体" w:hint="eastAsia"/>
                <w:kern w:val="0"/>
                <w:sz w:val="24"/>
                <w:szCs w:val="24"/>
                <w:lang w:bidi="ar-SA"/>
              </w:rPr>
              <w:t>本年处理决定数量</w:t>
            </w:r>
          </w:p>
        </w:tc>
      </w:tr>
      <w:tr>
        <w:trPr>
          <w:trHeight w:val="510"/>
        </w:trPr>
        <w:tc>
          <w:tcPr>
            <w:tcW w:w="2720" w:type="dxa"/>
            <w:tcBorders>
              <w:left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adjustRightInd w:val="0"/>
              <w:snapToGrid w:val="0"/>
              <w:spacing w:line="260" w:lineRule="exact"/>
              <w:jc w:val="center"/>
              <w:rPr>
                <w:sz w:val="24"/>
                <w:szCs w:val="24"/>
              </w:rPr>
            </w:pPr>
            <w:r>
              <w:rPr>
                <w:rFonts w:ascii="宋体" w:cs="宋体" w:hint="eastAsia"/>
                <w:kern w:val="0"/>
                <w:sz w:val="24"/>
                <w:szCs w:val="24"/>
                <w:lang w:bidi="ar-SA"/>
              </w:rPr>
              <w:t>行政许可</w:t>
            </w:r>
          </w:p>
        </w:tc>
        <w:tc>
          <w:tcPr>
            <w:tcW w:w="6275" w:type="dxa"/>
            <w:gridSpan w:val="3"/>
            <w:tcBorders>
              <w:bottom w:val="single" w:sz="8" w:space="0" w:color="auto"/>
              <w:right w:val="single" w:sz="8" w:space="0" w:color="auto"/>
            </w:tcBorders>
            <w:shd w:val="clear" w:color="auto" w:fill="auto"/>
            <w:tcMar>
              <w:left w:w="108" w:type="dxa"/>
              <w:right w:w="108" w:type="dxa"/>
            </w:tcMar>
            <w:vAlign w:val="center"/>
          </w:tcPr>
          <w:p>
            <w:pPr>
              <w:pStyle w:val="73"/>
              <w:jc w:val="center"/>
              <w:rPr>
                <w:rFonts w:eastAsia="方正仿宋_GBK" w:cs="宋体"/>
                <w:sz w:val="24"/>
                <w:szCs w:val="24"/>
                <w:lang w:bidi="ar-SA"/>
              </w:rPr>
            </w:pPr>
            <w:r>
              <w:rPr>
                <w:rFonts w:eastAsia="方正仿宋_GBK" w:cs="宋体" w:hint="eastAsia"/>
                <w:sz w:val="24"/>
                <w:szCs w:val="24"/>
                <w:lang w:bidi="ar-SA"/>
              </w:rPr>
              <w:t>1</w:t>
            </w:r>
          </w:p>
        </w:tc>
      </w:tr>
      <w:tr>
        <w:trPr>
          <w:trHeight w:val="406"/>
        </w:trPr>
        <w:tc>
          <w:tcPr>
            <w:tcW w:w="8995" w:type="dxa"/>
            <w:gridSpan w:val="4"/>
            <w:tcBorders>
              <w:left w:val="single" w:sz="8" w:space="0" w:color="auto"/>
              <w:bottom w:val="single" w:sz="8" w:space="0" w:color="auto"/>
              <w:right w:val="single" w:sz="8" w:space="0" w:color="auto"/>
            </w:tcBorders>
            <w:shd w:val="clear" w:color="auto" w:fill="C6D9F1"/>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第二十条第（六）项</w:t>
            </w:r>
          </w:p>
        </w:tc>
      </w:tr>
      <w:tr>
        <w:trPr>
          <w:trHeight w:val="680"/>
        </w:trPr>
        <w:tc>
          <w:tcPr>
            <w:tcW w:w="2720" w:type="dxa"/>
            <w:tcBorders>
              <w:left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adjustRightInd w:val="0"/>
              <w:snapToGrid w:val="0"/>
              <w:spacing w:line="260" w:lineRule="exact"/>
              <w:jc w:val="center"/>
              <w:rPr>
                <w:sz w:val="24"/>
                <w:szCs w:val="24"/>
              </w:rPr>
            </w:pPr>
            <w:r>
              <w:rPr>
                <w:rFonts w:ascii="宋体" w:cs="宋体" w:hint="eastAsia"/>
                <w:kern w:val="0"/>
                <w:sz w:val="24"/>
                <w:szCs w:val="24"/>
                <w:lang w:bidi="ar-SA"/>
              </w:rPr>
              <w:t>信息内容</w:t>
            </w:r>
          </w:p>
        </w:tc>
        <w:tc>
          <w:tcPr>
            <w:tcW w:w="6275" w:type="dxa"/>
            <w:gridSpan w:val="3"/>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65"/>
              <w:widowControl/>
              <w:adjustRightInd w:val="0"/>
              <w:snapToGrid w:val="0"/>
              <w:spacing w:line="260" w:lineRule="exact"/>
              <w:jc w:val="center"/>
              <w:rPr>
                <w:sz w:val="24"/>
                <w:szCs w:val="24"/>
              </w:rPr>
            </w:pPr>
            <w:r>
              <w:rPr>
                <w:rFonts w:ascii="宋体" w:cs="宋体" w:hint="eastAsia"/>
                <w:kern w:val="0"/>
                <w:sz w:val="24"/>
                <w:szCs w:val="24"/>
                <w:lang w:bidi="ar-SA"/>
              </w:rPr>
              <w:t>本年处理决定数量</w:t>
            </w:r>
          </w:p>
        </w:tc>
      </w:tr>
      <w:tr>
        <w:trPr>
          <w:trHeight w:val="510"/>
        </w:trPr>
        <w:tc>
          <w:tcPr>
            <w:tcW w:w="2720" w:type="dxa"/>
            <w:tcBorders>
              <w:left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adjustRightInd w:val="0"/>
              <w:snapToGrid w:val="0"/>
              <w:spacing w:line="260" w:lineRule="exact"/>
              <w:jc w:val="center"/>
              <w:rPr>
                <w:sz w:val="24"/>
                <w:szCs w:val="24"/>
              </w:rPr>
            </w:pPr>
            <w:r>
              <w:rPr>
                <w:rFonts w:ascii="宋体" w:cs="宋体" w:hint="eastAsia"/>
                <w:kern w:val="0"/>
                <w:sz w:val="24"/>
                <w:szCs w:val="24"/>
                <w:lang w:bidi="ar-SA"/>
              </w:rPr>
              <w:t>行政处罚</w:t>
            </w:r>
          </w:p>
        </w:tc>
        <w:tc>
          <w:tcPr>
            <w:tcW w:w="6275" w:type="dxa"/>
            <w:gridSpan w:val="3"/>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cs="宋体"/>
                <w:sz w:val="24"/>
                <w:szCs w:val="24"/>
                <w:lang w:bidi="ar-SA"/>
              </w:rPr>
            </w:pPr>
            <w:r>
              <w:rPr>
                <w:rFonts w:eastAsia="方正仿宋_GBK" w:cs="宋体" w:hint="eastAsia"/>
                <w:sz w:val="24"/>
                <w:szCs w:val="24"/>
                <w:lang w:bidi="ar-SA"/>
              </w:rPr>
              <w:t>0</w:t>
            </w:r>
          </w:p>
        </w:tc>
      </w:tr>
      <w:tr>
        <w:trPr>
          <w:trHeight w:val="510"/>
        </w:trPr>
        <w:tc>
          <w:tcPr>
            <w:tcW w:w="2720" w:type="dxa"/>
            <w:tcBorders>
              <w:left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adjustRightInd w:val="0"/>
              <w:snapToGrid w:val="0"/>
              <w:spacing w:line="260" w:lineRule="exact"/>
              <w:jc w:val="center"/>
              <w:rPr>
                <w:sz w:val="24"/>
                <w:szCs w:val="24"/>
              </w:rPr>
            </w:pPr>
            <w:r>
              <w:rPr>
                <w:rFonts w:ascii="宋体" w:cs="宋体" w:hint="eastAsia"/>
                <w:kern w:val="0"/>
                <w:sz w:val="24"/>
                <w:szCs w:val="24"/>
                <w:lang w:bidi="ar-SA"/>
              </w:rPr>
              <w:t>行政强制</w:t>
            </w:r>
          </w:p>
        </w:tc>
        <w:tc>
          <w:tcPr>
            <w:tcW w:w="6275" w:type="dxa"/>
            <w:gridSpan w:val="3"/>
            <w:tcBorders>
              <w:bottom w:val="single" w:sz="8" w:space="0" w:color="auto"/>
              <w:right w:val="single" w:sz="8" w:space="0" w:color="auto"/>
            </w:tcBorders>
            <w:shd w:val="clear" w:color="auto" w:fill="auto"/>
            <w:tcMar>
              <w:left w:w="108" w:type="dxa"/>
              <w:right w:w="108" w:type="dxa"/>
            </w:tcMar>
            <w:vAlign w:val="center"/>
          </w:tcPr>
          <w:p>
            <w:pPr>
              <w:pStyle w:val="74"/>
              <w:jc w:val="center"/>
              <w:rPr>
                <w:rFonts w:eastAsia="方正仿宋_GBK" w:cs="宋体"/>
                <w:sz w:val="24"/>
                <w:szCs w:val="24"/>
                <w:lang w:bidi="ar-SA"/>
              </w:rPr>
            </w:pPr>
            <w:r>
              <w:rPr>
                <w:rFonts w:eastAsia="方正仿宋_GBK" w:cs="宋体"/>
                <w:sz w:val="24"/>
                <w:szCs w:val="24"/>
                <w:lang w:bidi="ar-SA"/>
              </w:rPr>
              <w:t>0</w:t>
            </w:r>
          </w:p>
        </w:tc>
      </w:tr>
      <w:tr>
        <w:trPr>
          <w:trHeight w:val="474"/>
        </w:trPr>
        <w:tc>
          <w:tcPr>
            <w:tcW w:w="8995" w:type="dxa"/>
            <w:gridSpan w:val="4"/>
            <w:tcBorders>
              <w:left w:val="single" w:sz="8" w:space="0" w:color="auto"/>
              <w:bottom w:val="single" w:sz="8" w:space="0" w:color="auto"/>
              <w:right w:val="single" w:sz="8" w:space="0" w:color="auto"/>
            </w:tcBorders>
            <w:shd w:val="clear" w:color="auto" w:fill="C6D9F1"/>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第二十条第（八）项</w:t>
            </w:r>
          </w:p>
        </w:tc>
      </w:tr>
      <w:tr>
        <w:trPr>
          <w:trHeight w:val="680"/>
        </w:trPr>
        <w:tc>
          <w:tcPr>
            <w:tcW w:w="2720" w:type="dxa"/>
            <w:tcBorders>
              <w:left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adjustRightInd w:val="0"/>
              <w:snapToGrid w:val="0"/>
              <w:spacing w:line="260" w:lineRule="exact"/>
              <w:jc w:val="center"/>
              <w:rPr>
                <w:sz w:val="24"/>
                <w:szCs w:val="24"/>
              </w:rPr>
            </w:pPr>
            <w:r>
              <w:rPr>
                <w:rFonts w:ascii="宋体" w:cs="宋体" w:hint="eastAsia"/>
                <w:kern w:val="0"/>
                <w:sz w:val="24"/>
                <w:szCs w:val="24"/>
                <w:lang w:bidi="ar-SA"/>
              </w:rPr>
              <w:t>信息内容</w:t>
            </w:r>
          </w:p>
        </w:tc>
        <w:tc>
          <w:tcPr>
            <w:tcW w:w="6275" w:type="dxa"/>
            <w:gridSpan w:val="3"/>
            <w:tcBorders>
              <w:bottom w:val="single" w:sz="8" w:space="0" w:color="auto"/>
              <w:right w:val="single" w:sz="8" w:space="0" w:color="000000"/>
            </w:tcBorders>
            <w:shd w:val="clear" w:color="auto" w:fill="auto"/>
            <w:tcMar>
              <w:left w:w="108" w:type="dxa"/>
              <w:right w:w="108" w:type="dxa"/>
            </w:tcMar>
            <w:vAlign w:val="center"/>
          </w:tcPr>
          <w:p>
            <w:pPr>
              <w:pStyle w:val="69"/>
              <w:widowControl/>
              <w:adjustRightInd w:val="0"/>
              <w:snapToGrid w:val="0"/>
              <w:spacing w:line="260" w:lineRule="exact"/>
              <w:jc w:val="center"/>
              <w:rPr>
                <w:sz w:val="24"/>
                <w:szCs w:val="24"/>
              </w:rPr>
            </w:pPr>
            <w:r>
              <w:rPr>
                <w:rFonts w:ascii="宋体" w:cs="宋体" w:hint="eastAsia"/>
                <w:kern w:val="0"/>
                <w:sz w:val="24"/>
                <w:szCs w:val="24"/>
                <w:lang w:bidi="ar-SA"/>
              </w:rPr>
              <w:t>本年收费金额（单位：万元）</w:t>
            </w:r>
          </w:p>
        </w:tc>
      </w:tr>
      <w:tr>
        <w:trPr>
          <w:trHeight w:val="510"/>
        </w:trPr>
        <w:tc>
          <w:tcPr>
            <w:tcW w:w="2720" w:type="dxa"/>
            <w:tcBorders>
              <w:left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adjustRightInd w:val="0"/>
              <w:snapToGrid w:val="0"/>
              <w:spacing w:line="260" w:lineRule="exact"/>
              <w:jc w:val="center"/>
            </w:pPr>
            <w:r>
              <w:rPr>
                <w:rFonts w:ascii="宋体" w:cs="宋体" w:hint="eastAsia"/>
                <w:kern w:val="0"/>
                <w:sz w:val="24"/>
                <w:szCs w:val="24"/>
                <w:lang w:bidi="ar-SA"/>
              </w:rPr>
              <w:t>行政事业性收费</w:t>
            </w:r>
          </w:p>
        </w:tc>
        <w:tc>
          <w:tcPr>
            <w:tcW w:w="6275" w:type="dxa"/>
            <w:gridSpan w:val="3"/>
            <w:tcBorders>
              <w:bottom w:val="single" w:sz="8" w:space="0" w:color="auto"/>
              <w:right w:val="single" w:sz="8" w:space="0" w:color="000000"/>
            </w:tcBorders>
            <w:shd w:val="clear" w:color="auto" w:fill="auto"/>
            <w:tcMar>
              <w:left w:w="108" w:type="dxa"/>
              <w:right w:w="108" w:type="dxa"/>
            </w:tcMar>
            <w:vAlign w:val="center"/>
          </w:tcPr>
          <w:p>
            <w:pPr>
              <w:pStyle w:val="39"/>
              <w:jc w:val="center"/>
              <w:rPr>
                <w:rFonts w:eastAsia="方正仿宋_GBK" w:cs="宋体"/>
                <w:sz w:val="24"/>
                <w:szCs w:val="24"/>
                <w:lang w:bidi="ar-SA"/>
              </w:rPr>
            </w:pPr>
            <w:r>
              <w:rPr>
                <w:rFonts w:eastAsia="方正仿宋_GBK" w:cs="宋体"/>
                <w:sz w:val="24"/>
                <w:szCs w:val="24"/>
                <w:lang w:bidi="ar-SA"/>
              </w:rPr>
              <w:t>0</w:t>
            </w:r>
          </w:p>
        </w:tc>
      </w:tr>
    </w:tbl>
    <w:p>
      <w:pPr>
        <w:pStyle w:val="21"/>
        <w:tabs>
          <w:tab w:val="center" w:pos="4153"/>
          <w:tab w:val="right" w:pos="8306"/>
        </w:tabs>
      </w:pPr>
    </w:p>
    <w:p>
      <w:pPr>
        <w:pStyle w:val="27"/>
        <w:widowControl/>
        <w:shd w:val="clear" w:color="auto" w:fill="FFFFFF"/>
        <w:adjustRightInd w:val="0"/>
        <w:snapToGrid w:val="0"/>
        <w:spacing w:beforeAutospacing="0" w:afterLines="50" w:after="218" w:afterAutospacing="0" w:line="560" w:lineRule="exact"/>
        <w:ind w:firstLineChars="200" w:firstLine="640"/>
        <w:jc w:val="both"/>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pPr>
            <w:r>
              <w:rPr>
                <w:rFonts w:ascii="宋体" w:cs="宋体" w:hint="eastAsia"/>
                <w:kern w:val="0"/>
                <w:sz w:val="20"/>
                <w:szCs w:val="20"/>
                <w:lang w:bidi="ar-SA"/>
              </w:rPr>
              <w:t>（本列数据的勾稽关系为：第一项加第二项之和，等于第三项加第四项之和）</w:t>
            </w:r>
          </w:p>
        </w:tc>
        <w:tc>
          <w:tcPr>
            <w:tcW w:w="4769" w:type="dxa"/>
            <w:gridSpan w:val="7"/>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pPr>
            <w:r>
              <w:rPr>
                <w:rFonts w:ascii="宋体" w:cs="宋体" w:hint="eastAsia"/>
                <w:kern w:val="0"/>
                <w:sz w:val="20"/>
                <w:szCs w:val="20"/>
                <w:lang w:bidi="ar-SA"/>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val="restart"/>
            <w:tcBorders>
              <w:bottom w:val="single" w:sz="8" w:space="0" w:color="auto"/>
              <w:right w:val="single" w:sz="8" w:space="0" w:color="auto"/>
            </w:tcBorders>
            <w:shd w:val="clear" w:color="auto" w:fill="auto"/>
            <w:tcMar>
              <w:left w:w="108" w:type="dxa"/>
              <w:right w:w="108" w:type="dxa"/>
            </w:tcMar>
            <w:vAlign w:val="center"/>
          </w:tcPr>
          <w:p>
            <w:pPr>
              <w:pStyle w:val="39"/>
              <w:widowControl/>
              <w:jc w:val="center"/>
            </w:pPr>
            <w:r>
              <w:rPr>
                <w:rFonts w:ascii="宋体" w:cs="宋体" w:hint="eastAsia"/>
                <w:kern w:val="0"/>
                <w:sz w:val="20"/>
                <w:szCs w:val="20"/>
                <w:lang w:bidi="ar-SA"/>
              </w:rPr>
              <w:t>自然人</w:t>
            </w:r>
          </w:p>
        </w:tc>
        <w:tc>
          <w:tcPr>
            <w:tcW w:w="3452" w:type="dxa"/>
            <w:gridSpan w:val="5"/>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pPr>
            <w:r>
              <w:rPr>
                <w:rFonts w:ascii="宋体" w:cs="宋体" w:hint="eastAsia"/>
                <w:kern w:val="0"/>
                <w:sz w:val="20"/>
                <w:szCs w:val="20"/>
                <w:lang w:bidi="ar-SA"/>
              </w:rPr>
              <w:t>法人或其他组织</w:t>
            </w:r>
          </w:p>
        </w:tc>
        <w:tc>
          <w:tcPr>
            <w:tcW w:w="682" w:type="dxa"/>
            <w:vMerge w:val="restart"/>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pPr>
            <w:r>
              <w:rPr>
                <w:rFonts w:ascii="宋体" w:cs="宋体" w:hint="eastAsia"/>
                <w:kern w:val="0"/>
                <w:sz w:val="20"/>
                <w:szCs w:val="20"/>
                <w:lang w:bidi="ar-SA"/>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bottom w:val="single" w:sz="8" w:space="0" w:color="auto"/>
              <w:right w:val="single" w:sz="8" w:space="0" w:color="auto"/>
            </w:tcBorders>
            <w:shd w:val="clear" w:color="auto" w:fill="auto"/>
            <w:tcMar>
              <w:left w:w="108" w:type="dxa"/>
              <w:right w:w="108" w:type="dxa"/>
            </w:tcMar>
            <w:vAlign w:val="center"/>
          </w:tcP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pPr>
            <w:r>
              <w:rPr>
                <w:rFonts w:ascii="宋体" w:cs="宋体" w:hint="eastAsia"/>
                <w:kern w:val="0"/>
                <w:sz w:val="20"/>
                <w:szCs w:val="20"/>
                <w:lang w:bidi="ar-SA"/>
              </w:rPr>
              <w:t>商业企业</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pPr>
            <w:r>
              <w:rPr>
                <w:rFonts w:ascii="宋体" w:cs="宋体" w:hint="eastAsia"/>
                <w:kern w:val="0"/>
                <w:sz w:val="20"/>
                <w:szCs w:val="20"/>
                <w:lang w:bidi="ar-SA"/>
              </w:rPr>
              <w:t>科研机构</w:t>
            </w:r>
          </w:p>
        </w:tc>
        <w:tc>
          <w:tcPr>
            <w:tcW w:w="765" w:type="dxa"/>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pPr>
            <w:r>
              <w:rPr>
                <w:rFonts w:ascii="宋体" w:cs="宋体" w:hint="eastAsia"/>
                <w:kern w:val="0"/>
                <w:sz w:val="20"/>
                <w:szCs w:val="20"/>
                <w:lang w:bidi="ar-SA"/>
              </w:rPr>
              <w:t>社会公益组织</w:t>
            </w:r>
          </w:p>
        </w:tc>
        <w:tc>
          <w:tcPr>
            <w:tcW w:w="765" w:type="dxa"/>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pPr>
            <w:r>
              <w:rPr>
                <w:rFonts w:ascii="宋体" w:cs="宋体" w:hint="eastAsia"/>
                <w:kern w:val="0"/>
                <w:sz w:val="20"/>
                <w:szCs w:val="20"/>
                <w:lang w:bidi="ar-SA"/>
              </w:rPr>
              <w:t>法律服务机构</w:t>
            </w:r>
          </w:p>
        </w:tc>
        <w:tc>
          <w:tcPr>
            <w:tcW w:w="497" w:type="dxa"/>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pPr>
            <w:r>
              <w:rPr>
                <w:rFonts w:ascii="宋体" w:cs="宋体" w:hint="eastAsia"/>
                <w:kern w:val="0"/>
                <w:sz w:val="20"/>
                <w:szCs w:val="20"/>
                <w:lang w:bidi="ar-SA"/>
              </w:rPr>
              <w:t>其他</w:t>
            </w:r>
          </w:p>
        </w:tc>
        <w:tc>
          <w:tcPr>
            <w:tcW w:w="682" w:type="dxa"/>
            <w:vMerge/>
            <w:tcBorders>
              <w:top w:val="single" w:sz="8" w:space="0" w:color="auto"/>
              <w:bottom w:val="single" w:sz="8" w:space="0" w:color="auto"/>
              <w:right w:val="single" w:sz="8" w:space="0" w:color="auto"/>
            </w:tcBorders>
            <w:shd w:val="clear" w:color="auto" w:fill="auto"/>
            <w:tcMar>
              <w:left w:w="108" w:type="dxa"/>
              <w:right w:w="108" w:type="dxa"/>
            </w:tcMar>
            <w:vAlign w:val="center"/>
          </w:tcPr>
          <w:p/>
        </w:tc>
      </w:tr>
      <w:tr>
        <w:tc>
          <w:tcPr>
            <w:tcW w:w="4302" w:type="dxa"/>
            <w:gridSpan w:val="3"/>
            <w:tcBorders>
              <w:left w:val="single" w:sz="8" w:space="0" w:color="auto"/>
              <w:bottom w:val="single" w:sz="8" w:space="0" w:color="auto"/>
              <w:right w:val="single" w:sz="8" w:space="0" w:color="auto"/>
            </w:tcBorders>
            <w:shd w:val="clear" w:color="auto" w:fill="auto"/>
            <w:tcMar>
              <w:left w:w="108" w:type="dxa"/>
              <w:right w:w="108" w:type="dxa"/>
            </w:tcMar>
          </w:tcPr>
          <w:p>
            <w:pPr>
              <w:pStyle w:val="39"/>
              <w:widowControl/>
              <w:jc w:val="left"/>
              <w:rPr>
                <w:sz w:val="24"/>
                <w:szCs w:val="24"/>
              </w:rPr>
            </w:pPr>
            <w:r>
              <w:rPr>
                <w:rFonts w:ascii="宋体" w:cs="宋体" w:hint="eastAsia"/>
                <w:kern w:val="0"/>
                <w:sz w:val="24"/>
                <w:szCs w:val="24"/>
                <w:lang w:bidi="ar-SA"/>
              </w:rPr>
              <w:t>一、本年新收政府信息公开申请数量</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hint="eastAsia"/>
                <w:sz w:val="24"/>
                <w:szCs w:val="24"/>
              </w:rPr>
              <w:t>2</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hint="eastAsia"/>
                <w:sz w:val="24"/>
                <w:szCs w:val="24"/>
              </w:rPr>
              <w:t>2</w:t>
            </w:r>
          </w:p>
        </w:tc>
      </w:tr>
      <w:tr>
        <w:tc>
          <w:tcPr>
            <w:tcW w:w="4302" w:type="dxa"/>
            <w:gridSpan w:val="3"/>
            <w:tcBorders>
              <w:left w:val="single" w:sz="8" w:space="0" w:color="auto"/>
              <w:bottom w:val="single" w:sz="8" w:space="0" w:color="auto"/>
              <w:right w:val="single" w:sz="8" w:space="0" w:color="auto"/>
            </w:tcBorders>
            <w:shd w:val="clear" w:color="auto" w:fill="auto"/>
            <w:tcMar>
              <w:left w:w="108" w:type="dxa"/>
              <w:right w:w="108" w:type="dxa"/>
            </w:tcMar>
          </w:tcPr>
          <w:p>
            <w:pPr>
              <w:pStyle w:val="39"/>
              <w:widowControl/>
              <w:jc w:val="left"/>
              <w:rPr>
                <w:sz w:val="24"/>
                <w:szCs w:val="24"/>
              </w:rPr>
            </w:pPr>
            <w:r>
              <w:rPr>
                <w:rFonts w:ascii="宋体" w:cs="宋体" w:hint="eastAsia"/>
                <w:kern w:val="0"/>
                <w:sz w:val="24"/>
                <w:szCs w:val="24"/>
                <w:lang w:bidi="ar-SA"/>
              </w:rPr>
              <w:t>二、上年结转政府信息公开申请数量</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c>
          <w:tcPr>
            <w:tcW w:w="696" w:type="dxa"/>
            <w:vMerge w:val="restart"/>
            <w:tcBorders>
              <w:left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三、本年度办理结果</w:t>
            </w:r>
          </w:p>
        </w:tc>
        <w:tc>
          <w:tcPr>
            <w:tcW w:w="3606" w:type="dxa"/>
            <w:gridSpan w:val="2"/>
            <w:tcBorders>
              <w:bottom w:val="single" w:sz="8" w:space="0" w:color="auto"/>
              <w:right w:val="single" w:sz="8" w:space="0" w:color="auto"/>
            </w:tcBorders>
            <w:shd w:val="clear" w:color="auto" w:fill="auto"/>
            <w:tcMar>
              <w:left w:w="108" w:type="dxa"/>
              <w:right w:w="108" w:type="dxa"/>
            </w:tcMar>
            <w:vAlign w:val="center"/>
          </w:tcPr>
          <w:p>
            <w:pPr>
              <w:pStyle w:val="39"/>
              <w:widowControl/>
              <w:jc w:val="left"/>
              <w:rPr>
                <w:sz w:val="24"/>
                <w:szCs w:val="24"/>
              </w:rPr>
            </w:pPr>
            <w:r>
              <w:rPr>
                <w:rFonts w:ascii="楷体" w:eastAsia="楷体" w:cs="楷体" w:hint="eastAsia"/>
                <w:kern w:val="0"/>
                <w:sz w:val="24"/>
                <w:szCs w:val="24"/>
                <w:lang w:bidi="ar-SA"/>
              </w:rPr>
              <w:t>（一）予以公开</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hint="eastAsia"/>
                <w:sz w:val="24"/>
                <w:szCs w:val="24"/>
              </w:rPr>
              <w:t>2</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hint="eastAsia"/>
                <w:sz w:val="24"/>
                <w:szCs w:val="24"/>
              </w:rPr>
              <w:t>2</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bottom w:val="single" w:sz="8" w:space="0" w:color="auto"/>
              <w:right w:val="single" w:sz="8" w:space="0" w:color="auto"/>
            </w:tcBorders>
            <w:shd w:val="clear" w:color="auto" w:fill="auto"/>
            <w:tcMar>
              <w:left w:w="108" w:type="dxa"/>
              <w:right w:w="108" w:type="dxa"/>
            </w:tcMar>
            <w:vAlign w:val="center"/>
          </w:tcPr>
          <w:p>
            <w:pPr>
              <w:pStyle w:val="39"/>
              <w:widowControl/>
              <w:jc w:val="left"/>
              <w:rPr>
                <w:sz w:val="24"/>
                <w:szCs w:val="24"/>
              </w:rPr>
            </w:pPr>
            <w:r>
              <w:rPr>
                <w:rFonts w:ascii="楷体" w:eastAsia="楷体" w:cs="楷体" w:hint="eastAsia"/>
                <w:kern w:val="0"/>
                <w:sz w:val="24"/>
                <w:szCs w:val="24"/>
                <w:lang w:bidi="ar-SA"/>
              </w:rPr>
              <w:t>（二）部分公开（区分处理的，只计这一情形，不计其他情形）</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（三）不予公开</w:t>
            </w:r>
          </w:p>
        </w:tc>
        <w:tc>
          <w:tcPr>
            <w:tcW w:w="2670" w:type="dxa"/>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1.属于国家秘密</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bottom w:val="single" w:sz="8" w:space="0" w:color="auto"/>
              <w:right w:val="single" w:sz="8" w:space="0" w:color="auto"/>
            </w:tcBorders>
            <w:shd w:val="clear" w:color="auto" w:fill="auto"/>
            <w:tcMar>
              <w:left w:w="108" w:type="dxa"/>
              <w:right w:w="108" w:type="dxa"/>
            </w:tcMar>
            <w:vAlign w:val="center"/>
          </w:tcPr>
          <w:p/>
        </w:tc>
        <w:tc>
          <w:tcPr>
            <w:tcW w:w="2670" w:type="dxa"/>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2.其他法律行政法规禁止公开</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bottom w:val="single" w:sz="8" w:space="0" w:color="auto"/>
              <w:right w:val="single" w:sz="8" w:space="0" w:color="auto"/>
            </w:tcBorders>
            <w:shd w:val="clear" w:color="auto" w:fill="auto"/>
            <w:tcMar>
              <w:left w:w="108" w:type="dxa"/>
              <w:right w:w="108" w:type="dxa"/>
            </w:tcMar>
            <w:vAlign w:val="center"/>
          </w:tcPr>
          <w:p/>
        </w:tc>
        <w:tc>
          <w:tcPr>
            <w:tcW w:w="2670" w:type="dxa"/>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3.危及“三安全一稳定”</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bottom w:val="single" w:sz="8" w:space="0" w:color="auto"/>
              <w:right w:val="single" w:sz="8" w:space="0" w:color="auto"/>
            </w:tcBorders>
            <w:shd w:val="clear" w:color="auto" w:fill="auto"/>
            <w:tcMar>
              <w:left w:w="108" w:type="dxa"/>
              <w:right w:w="108" w:type="dxa"/>
            </w:tcMar>
            <w:vAlign w:val="center"/>
          </w:tcPr>
          <w:p/>
        </w:tc>
        <w:tc>
          <w:tcPr>
            <w:tcW w:w="2670" w:type="dxa"/>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4.保护第三方合法权益</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bottom w:val="single" w:sz="8" w:space="0" w:color="auto"/>
              <w:right w:val="single" w:sz="8" w:space="0" w:color="auto"/>
            </w:tcBorders>
            <w:shd w:val="clear" w:color="auto" w:fill="auto"/>
            <w:tcMar>
              <w:left w:w="108" w:type="dxa"/>
              <w:right w:w="108" w:type="dxa"/>
            </w:tcMar>
            <w:vAlign w:val="center"/>
          </w:tcPr>
          <w:p/>
        </w:tc>
        <w:tc>
          <w:tcPr>
            <w:tcW w:w="2670" w:type="dxa"/>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5.属于三类内部事务信息</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bottom w:val="single" w:sz="8" w:space="0" w:color="auto"/>
              <w:right w:val="single" w:sz="8" w:space="0" w:color="auto"/>
            </w:tcBorders>
            <w:shd w:val="clear" w:color="auto" w:fill="auto"/>
            <w:tcMar>
              <w:left w:w="108" w:type="dxa"/>
              <w:right w:w="108" w:type="dxa"/>
            </w:tcMar>
            <w:vAlign w:val="center"/>
          </w:tcPr>
          <w:p/>
        </w:tc>
        <w:tc>
          <w:tcPr>
            <w:tcW w:w="2670" w:type="dxa"/>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6.属于四类过程性信息</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bottom w:val="single" w:sz="8" w:space="0" w:color="auto"/>
              <w:right w:val="single" w:sz="8" w:space="0" w:color="auto"/>
            </w:tcBorders>
            <w:shd w:val="clear" w:color="auto" w:fill="auto"/>
            <w:tcMar>
              <w:left w:w="108" w:type="dxa"/>
              <w:right w:w="108" w:type="dxa"/>
            </w:tcMar>
            <w:vAlign w:val="center"/>
          </w:tcPr>
          <w:p/>
        </w:tc>
        <w:tc>
          <w:tcPr>
            <w:tcW w:w="2670" w:type="dxa"/>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7.属于行政执法案卷</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bottom w:val="single" w:sz="8" w:space="0" w:color="auto"/>
              <w:right w:val="single" w:sz="8" w:space="0" w:color="auto"/>
            </w:tcBorders>
            <w:shd w:val="clear" w:color="auto" w:fill="auto"/>
            <w:tcMar>
              <w:left w:w="108" w:type="dxa"/>
              <w:right w:w="108" w:type="dxa"/>
            </w:tcMar>
            <w:vAlign w:val="center"/>
          </w:tcPr>
          <w:p/>
        </w:tc>
        <w:tc>
          <w:tcPr>
            <w:tcW w:w="2670" w:type="dxa"/>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8.属于行政查询事项</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（四）无法提供</w:t>
            </w:r>
          </w:p>
        </w:tc>
        <w:tc>
          <w:tcPr>
            <w:tcW w:w="2670" w:type="dxa"/>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1.本机关不掌握相关政府信息</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bottom w:val="single" w:sz="8" w:space="0" w:color="auto"/>
              <w:right w:val="single" w:sz="8" w:space="0" w:color="auto"/>
            </w:tcBorders>
            <w:shd w:val="clear" w:color="auto" w:fill="auto"/>
            <w:tcMar>
              <w:left w:w="108" w:type="dxa"/>
              <w:right w:w="108" w:type="dxa"/>
            </w:tcMar>
            <w:vAlign w:val="center"/>
          </w:tcPr>
          <w:p/>
        </w:tc>
        <w:tc>
          <w:tcPr>
            <w:tcW w:w="2670" w:type="dxa"/>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2.没有现成信息需要另行制作</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bottom w:val="single" w:sz="8" w:space="0" w:color="auto"/>
              <w:right w:val="single" w:sz="8" w:space="0" w:color="auto"/>
            </w:tcBorders>
            <w:shd w:val="clear" w:color="auto" w:fill="auto"/>
            <w:tcMar>
              <w:left w:w="108" w:type="dxa"/>
              <w:right w:w="108" w:type="dxa"/>
            </w:tcMar>
            <w:vAlign w:val="center"/>
          </w:tcPr>
          <w:p/>
        </w:tc>
        <w:tc>
          <w:tcPr>
            <w:tcW w:w="2670" w:type="dxa"/>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3.补正后申请内容仍不明确</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（五）不予处理</w:t>
            </w:r>
          </w:p>
        </w:tc>
        <w:tc>
          <w:tcPr>
            <w:tcW w:w="2670" w:type="dxa"/>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1.信访举报投诉类申请</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bottom w:val="single" w:sz="8" w:space="0" w:color="auto"/>
              <w:right w:val="single" w:sz="8" w:space="0" w:color="auto"/>
            </w:tcBorders>
            <w:shd w:val="clear" w:color="auto" w:fill="auto"/>
            <w:tcMar>
              <w:left w:w="108" w:type="dxa"/>
              <w:right w:w="108" w:type="dxa"/>
            </w:tcMar>
            <w:vAlign w:val="center"/>
          </w:tcPr>
          <w:p/>
        </w:tc>
        <w:tc>
          <w:tcPr>
            <w:tcW w:w="2670" w:type="dxa"/>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2.重复申请</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bottom w:val="single" w:sz="8" w:space="0" w:color="auto"/>
              <w:right w:val="single" w:sz="8" w:space="0" w:color="auto"/>
            </w:tcBorders>
            <w:shd w:val="clear" w:color="auto" w:fill="auto"/>
            <w:tcMar>
              <w:left w:w="108" w:type="dxa"/>
              <w:right w:w="108" w:type="dxa"/>
            </w:tcMar>
            <w:vAlign w:val="center"/>
          </w:tcPr>
          <w:p/>
        </w:tc>
        <w:tc>
          <w:tcPr>
            <w:tcW w:w="2670" w:type="dxa"/>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3.要求提供公开出版物</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rPr>
          <w:trHeight w:val="810"/>
        </w:trP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bottom w:val="single" w:sz="8" w:space="0" w:color="auto"/>
              <w:right w:val="single" w:sz="8" w:space="0" w:color="auto"/>
            </w:tcBorders>
            <w:shd w:val="clear" w:color="auto" w:fill="auto"/>
            <w:tcMar>
              <w:left w:w="108" w:type="dxa"/>
              <w:right w:w="108" w:type="dxa"/>
            </w:tcMar>
            <w:vAlign w:val="center"/>
          </w:tcPr>
          <w:p/>
        </w:tc>
        <w:tc>
          <w:tcPr>
            <w:tcW w:w="2670" w:type="dxa"/>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4.无正当理由大量反复申请</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bottom w:val="single" w:sz="8" w:space="0" w:color="auto"/>
              <w:right w:val="single" w:sz="8" w:space="0" w:color="auto"/>
            </w:tcBorders>
            <w:shd w:val="clear" w:color="auto" w:fill="auto"/>
            <w:tcMar>
              <w:left w:w="108" w:type="dxa"/>
              <w:right w:w="108" w:type="dxa"/>
            </w:tcMar>
            <w:vAlign w:val="center"/>
          </w:tcPr>
          <w:p/>
        </w:tc>
        <w:tc>
          <w:tcPr>
            <w:tcW w:w="2670" w:type="dxa"/>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5.要求行政机关确认或重新出具已获取信息</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hint="eastAsia"/>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rPr>
          <w:trHeight w:val="567"/>
        </w:trP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（六）其他处理</w:t>
            </w:r>
          </w:p>
        </w:tc>
        <w:tc>
          <w:tcPr>
            <w:tcW w:w="2670" w:type="dxa"/>
            <w:tcBorders>
              <w:left w:val="single" w:sz="8" w:space="0" w:color="auto"/>
              <w:bottom w:val="single" w:sz="8" w:space="0" w:color="auto"/>
              <w:right w:val="single" w:sz="8" w:space="0" w:color="auto"/>
            </w:tcBorders>
            <w:shd w:val="clear" w:color="auto" w:fill="auto"/>
            <w:tcMar>
              <w:left w:w="108" w:type="dxa"/>
              <w:right w:w="108" w:type="dxa"/>
            </w:tcMar>
          </w:tcPr>
          <w:p>
            <w:pPr>
              <w:pStyle w:val="39"/>
              <w:widowControl/>
              <w:rPr>
                <w:rFonts w:ascii="楷体" w:eastAsia="楷体" w:cs="楷体" w:hint="eastAsia"/>
                <w:kern w:val="0"/>
                <w:sz w:val="24"/>
                <w:szCs w:val="24"/>
                <w:lang w:bidi="ar-SA"/>
              </w:rPr>
            </w:pPr>
            <w:r>
              <w:rPr>
                <w:rFonts w:ascii="楷体" w:eastAsia="楷体" w:cs="楷体" w:hint="eastAsia"/>
                <w:kern w:val="0"/>
                <w:sz w:val="24"/>
                <w:szCs w:val="24"/>
                <w:lang w:bidi="ar-SA"/>
              </w:rPr>
              <w:t>1.申请人无正当理由逾期不补正、行政机关不再处理其政府信息公开申请</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r>
        <w:trPr>
          <w:trHeight w:val="567"/>
        </w:trPr>
        <w:tc>
          <w:tcPr>
            <w:tcW w:w="696" w:type="dxa"/>
            <w:vMerge/>
            <w:tcBorders>
              <w:left w:val="single" w:sz="8" w:space="0" w:color="auto"/>
              <w:bottom w:val="single" w:sz="8" w:space="0" w:color="auto"/>
              <w:right w:val="single" w:sz="8" w:space="0" w:color="auto"/>
            </w:tcBorders>
            <w:shd w:val="clear" w:color="auto" w:fill="auto"/>
            <w:vAlign w:val="center"/>
          </w:tcPr>
          <w:p/>
        </w:tc>
        <w:tc>
          <w:tcPr>
            <w:tcW w:w="936" w:type="dxa"/>
            <w:vMerge/>
            <w:tcBorders>
              <w:bottom w:val="single" w:sz="8" w:space="0" w:color="auto"/>
              <w:right w:val="single" w:sz="8" w:space="0" w:color="auto"/>
            </w:tcBorders>
            <w:shd w:val="clear" w:color="auto" w:fill="auto"/>
            <w:vAlign w:val="center"/>
          </w:tcPr>
          <w:p/>
        </w:tc>
        <w:tc>
          <w:tcPr>
            <w:tcW w:w="2670" w:type="dxa"/>
            <w:tcBorders>
              <w:left w:val="single" w:sz="8" w:space="0" w:color="auto"/>
              <w:bottom w:val="single" w:sz="8" w:space="0" w:color="auto"/>
              <w:right w:val="single" w:sz="8" w:space="0" w:color="auto"/>
            </w:tcBorders>
            <w:shd w:val="clear" w:color="auto" w:fill="auto"/>
          </w:tcPr>
          <w:p>
            <w:pPr>
              <w:pStyle w:val="39"/>
              <w:widowControl/>
              <w:rPr>
                <w:rFonts w:ascii="楷体" w:eastAsia="楷体" w:cs="楷体" w:hint="eastAsia"/>
                <w:kern w:val="0"/>
                <w:sz w:val="24"/>
                <w:szCs w:val="24"/>
                <w:lang w:bidi="ar-SA"/>
              </w:rPr>
            </w:pPr>
            <w:r>
              <w:rPr>
                <w:rFonts w:ascii="楷体" w:eastAsia="楷体" w:cs="楷体" w:hint="eastAsia"/>
                <w:kern w:val="0"/>
                <w:sz w:val="24"/>
                <w:szCs w:val="24"/>
                <w:lang w:bidi="ar-SA"/>
              </w:rPr>
              <w:t>2.申请人逾期未按收费通知要求缴纳费用、行政机关不再处理其政府信息公开申请</w:t>
            </w:r>
          </w:p>
        </w:tc>
        <w:tc>
          <w:tcPr>
            <w:tcW w:w="635"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r>
      <w:tr>
        <w:trPr>
          <w:trHeight w:val="567"/>
        </w:trPr>
        <w:tc>
          <w:tcPr>
            <w:tcW w:w="696" w:type="dxa"/>
            <w:vMerge/>
            <w:tcBorders>
              <w:left w:val="single" w:sz="8" w:space="0" w:color="auto"/>
              <w:bottom w:val="single" w:sz="8" w:space="0" w:color="auto"/>
              <w:right w:val="single" w:sz="8" w:space="0" w:color="auto"/>
            </w:tcBorders>
            <w:shd w:val="clear" w:color="auto" w:fill="auto"/>
            <w:vAlign w:val="center"/>
          </w:tcPr>
          <w:p/>
        </w:tc>
        <w:tc>
          <w:tcPr>
            <w:tcW w:w="936" w:type="dxa"/>
            <w:vMerge/>
            <w:tcBorders>
              <w:bottom w:val="single" w:sz="8" w:space="0" w:color="auto"/>
              <w:right w:val="single" w:sz="8" w:space="0" w:color="auto"/>
            </w:tcBorders>
            <w:shd w:val="clear" w:color="auto" w:fill="auto"/>
            <w:vAlign w:val="center"/>
          </w:tcPr>
          <w:p/>
        </w:tc>
        <w:tc>
          <w:tcPr>
            <w:tcW w:w="2670" w:type="dxa"/>
            <w:tcBorders>
              <w:left w:val="single" w:sz="8" w:space="0" w:color="auto"/>
              <w:bottom w:val="single" w:sz="8" w:space="0" w:color="auto"/>
              <w:right w:val="single" w:sz="8" w:space="0" w:color="auto"/>
            </w:tcBorders>
            <w:shd w:val="clear" w:color="auto" w:fill="auto"/>
          </w:tcPr>
          <w:p>
            <w:pPr>
              <w:pStyle w:val="39"/>
              <w:widowControl/>
              <w:rPr>
                <w:rFonts w:ascii="楷体" w:eastAsia="楷体" w:cs="楷体" w:hint="eastAsia"/>
                <w:kern w:val="0"/>
                <w:sz w:val="24"/>
                <w:szCs w:val="24"/>
                <w:lang w:bidi="ar-SA"/>
              </w:rPr>
            </w:pPr>
            <w:r>
              <w:rPr>
                <w:rFonts w:ascii="楷体" w:eastAsia="楷体" w:cs="楷体" w:hint="eastAsia"/>
                <w:kern w:val="0"/>
                <w:sz w:val="24"/>
                <w:szCs w:val="24"/>
                <w:lang w:bidi="ar-SA"/>
              </w:rPr>
              <w:t>3.咨询事项，指引咨询渠道</w:t>
            </w:r>
          </w:p>
        </w:tc>
        <w:tc>
          <w:tcPr>
            <w:tcW w:w="635"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r>
      <w:tr>
        <w:trPr>
          <w:trHeight w:val="567"/>
        </w:trPr>
        <w:tc>
          <w:tcPr>
            <w:tcW w:w="696" w:type="dxa"/>
            <w:vMerge/>
            <w:tcBorders>
              <w:left w:val="single" w:sz="8" w:space="0" w:color="auto"/>
              <w:bottom w:val="single" w:sz="8" w:space="0" w:color="auto"/>
              <w:right w:val="single" w:sz="8" w:space="0" w:color="auto"/>
            </w:tcBorders>
            <w:shd w:val="clear" w:color="auto" w:fill="auto"/>
            <w:vAlign w:val="center"/>
          </w:tcPr>
          <w:p/>
        </w:tc>
        <w:tc>
          <w:tcPr>
            <w:tcW w:w="936" w:type="dxa"/>
            <w:vMerge/>
            <w:tcBorders>
              <w:bottom w:val="single" w:sz="8" w:space="0" w:color="auto"/>
              <w:right w:val="single" w:sz="8" w:space="0" w:color="auto"/>
            </w:tcBorders>
            <w:shd w:val="clear" w:color="auto" w:fill="auto"/>
            <w:vAlign w:val="center"/>
          </w:tcPr>
          <w:p/>
        </w:tc>
        <w:tc>
          <w:tcPr>
            <w:tcW w:w="2670" w:type="dxa"/>
            <w:tcBorders>
              <w:left w:val="single" w:sz="8" w:space="0" w:color="auto"/>
              <w:bottom w:val="single" w:sz="8" w:space="0" w:color="auto"/>
              <w:right w:val="single" w:sz="8" w:space="0" w:color="auto"/>
            </w:tcBorders>
            <w:shd w:val="clear" w:color="auto" w:fill="auto"/>
          </w:tcPr>
          <w:p>
            <w:pPr>
              <w:pStyle w:val="39"/>
              <w:widowControl/>
              <w:rPr>
                <w:rFonts w:ascii="楷体" w:eastAsia="楷体" w:cs="楷体" w:hint="eastAsia"/>
                <w:kern w:val="0"/>
                <w:sz w:val="24"/>
                <w:szCs w:val="24"/>
                <w:lang w:bidi="ar-SA"/>
              </w:rPr>
            </w:pPr>
            <w:r>
              <w:rPr>
                <w:rFonts w:ascii="楷体" w:eastAsia="楷体" w:cs="楷体" w:hint="eastAsia"/>
                <w:kern w:val="0"/>
                <w:sz w:val="24"/>
                <w:szCs w:val="24"/>
                <w:lang w:bidi="ar-SA"/>
              </w:rPr>
              <w:t>4.申请人撤销申请</w:t>
            </w:r>
          </w:p>
        </w:tc>
        <w:tc>
          <w:tcPr>
            <w:tcW w:w="635"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vAlign w:val="center"/>
          </w:tcPr>
          <w:p>
            <w:pPr>
              <w:pStyle w:val="39"/>
              <w:jc w:val="center"/>
              <w:rPr>
                <w:rFonts w:eastAsia="方正仿宋_GBK"/>
                <w:sz w:val="24"/>
                <w:szCs w:val="24"/>
              </w:rPr>
            </w:pPr>
            <w:r>
              <w:rPr>
                <w:rFonts w:eastAsia="方正仿宋_GBK"/>
                <w:sz w:val="24"/>
                <w:szCs w:val="24"/>
              </w:rPr>
              <w:t>0</w:t>
            </w:r>
          </w:p>
        </w:tc>
      </w:tr>
      <w:t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bottom w:val="single" w:sz="8" w:space="0" w:color="auto"/>
              <w:right w:val="single" w:sz="8" w:space="0" w:color="auto"/>
            </w:tcBorders>
            <w:shd w:val="clear" w:color="auto" w:fill="auto"/>
            <w:tcMar>
              <w:left w:w="108" w:type="dxa"/>
              <w:right w:w="108" w:type="dxa"/>
            </w:tcMar>
            <w:vAlign w:val="center"/>
          </w:tcPr>
          <w:p>
            <w:pPr>
              <w:pStyle w:val="39"/>
              <w:widowControl/>
              <w:rPr>
                <w:sz w:val="24"/>
                <w:szCs w:val="24"/>
              </w:rPr>
            </w:pPr>
            <w:r>
              <w:rPr>
                <w:rFonts w:ascii="楷体" w:eastAsia="楷体" w:cs="楷体" w:hint="eastAsia"/>
                <w:kern w:val="0"/>
                <w:sz w:val="24"/>
                <w:szCs w:val="24"/>
                <w:lang w:bidi="ar-SA"/>
              </w:rPr>
              <w:t>（七）总计</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hint="eastAsia"/>
                <w:sz w:val="24"/>
                <w:szCs w:val="24"/>
              </w:rPr>
              <w:t>2</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hint="eastAsia"/>
                <w:sz w:val="24"/>
                <w:szCs w:val="24"/>
              </w:rPr>
              <w:t>2</w:t>
            </w:r>
          </w:p>
        </w:tc>
      </w:tr>
      <w:tr>
        <w:tc>
          <w:tcPr>
            <w:tcW w:w="4302" w:type="dxa"/>
            <w:gridSpan w:val="3"/>
            <w:tcBorders>
              <w:left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left"/>
            </w:pPr>
            <w:r>
              <w:rPr>
                <w:rFonts w:ascii="宋体" w:cs="宋体" w:hint="eastAsia"/>
                <w:kern w:val="0"/>
                <w:sz w:val="24"/>
                <w:szCs w:val="24"/>
                <w:lang w:bidi="ar-SA"/>
              </w:rPr>
              <w:t>四、结转下年度继续办理</w:t>
            </w:r>
          </w:p>
        </w:tc>
        <w:tc>
          <w:tcPr>
            <w:tcW w:w="63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7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50"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497"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682" w:type="dxa"/>
            <w:tcBorders>
              <w:bottom w:val="single" w:sz="8" w:space="0" w:color="auto"/>
              <w:right w:val="single" w:sz="8" w:space="0" w:color="auto"/>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r>
    </w:tbl>
    <w:p>
      <w:pPr>
        <w:pStyle w:val="27"/>
        <w:widowControl/>
        <w:shd w:val="clear" w:color="auto" w:fill="FFFFFF"/>
        <w:spacing w:beforeLines="50" w:before="218" w:beforeAutospacing="0" w:after="120" w:afterAutospacing="0"/>
        <w:ind w:firstLineChars="200" w:firstLine="640"/>
        <w:jc w:val="both"/>
        <w:rPr>
          <w:rFonts w:ascii="方正黑体_GBK" w:eastAsia="方正黑体_GBK" w:cs="楷体_GB2312" w:hint="eastAsia"/>
          <w:bCs/>
          <w:sz w:val="32"/>
          <w:szCs w:val="32"/>
          <w:shd w:val="clear" w:color="auto" w:fill="FFFFFF"/>
          <w:lang w:bidi="ar-SA"/>
        </w:rPr>
      </w:pPr>
    </w:p>
    <w:p>
      <w:pPr>
        <w:pStyle w:val="27"/>
        <w:widowControl/>
        <w:shd w:val="clear" w:color="auto" w:fill="FFFFFF"/>
        <w:spacing w:beforeLines="50" w:before="218" w:beforeAutospacing="0" w:after="120" w:afterAutospacing="0"/>
        <w:ind w:firstLineChars="200" w:firstLine="640"/>
        <w:jc w:val="both"/>
        <w:rPr>
          <w:rFonts w:ascii="宋体" w:cs="宋体" w:hint="eastAsia"/>
          <w:szCs w:val="24"/>
          <w:lang w:bidi="ar-SA"/>
        </w:rPr>
      </w:pPr>
      <w:r>
        <w:rPr>
          <w:rFonts w:ascii="方正黑体_GBK" w:eastAsia="方正黑体_GBK" w:cs="楷体_GB2312" w:hint="eastAsia"/>
          <w:bCs/>
          <w:sz w:val="32"/>
          <w:szCs w:val="32"/>
          <w:shd w:val="clear" w:color="auto" w:fill="FFFFFF"/>
          <w:lang w:bidi="ar-SA"/>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行政复议</w:t>
            </w:r>
          </w:p>
        </w:tc>
        <w:tc>
          <w:tcPr>
            <w:tcW w:w="5997" w:type="dxa"/>
            <w:gridSpan w:val="10"/>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行政诉讼</w:t>
            </w:r>
          </w:p>
        </w:tc>
      </w:tr>
      <w:tr>
        <w:tc>
          <w:tcPr>
            <w:tcW w:w="604" w:type="dxa"/>
            <w:vMerge w:val="restart"/>
            <w:tcBorders>
              <w:left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结果维持</w:t>
            </w:r>
          </w:p>
        </w:tc>
        <w:tc>
          <w:tcPr>
            <w:tcW w:w="604" w:type="dxa"/>
            <w:vMerge w:val="restart"/>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结果纠正</w:t>
            </w:r>
          </w:p>
        </w:tc>
        <w:tc>
          <w:tcPr>
            <w:tcW w:w="604" w:type="dxa"/>
            <w:vMerge w:val="restart"/>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其他结果</w:t>
            </w:r>
          </w:p>
        </w:tc>
        <w:tc>
          <w:tcPr>
            <w:tcW w:w="604" w:type="dxa"/>
            <w:vMerge w:val="restart"/>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尚未审结</w:t>
            </w:r>
          </w:p>
        </w:tc>
        <w:tc>
          <w:tcPr>
            <w:tcW w:w="658" w:type="dxa"/>
            <w:vMerge w:val="restart"/>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总计</w:t>
            </w:r>
          </w:p>
        </w:tc>
        <w:tc>
          <w:tcPr>
            <w:tcW w:w="2970" w:type="dxa"/>
            <w:gridSpan w:val="5"/>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未经复议直接起诉</w:t>
            </w:r>
          </w:p>
        </w:tc>
        <w:tc>
          <w:tcPr>
            <w:tcW w:w="3027" w:type="dxa"/>
            <w:gridSpan w:val="5"/>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复议后起诉</w:t>
            </w:r>
          </w:p>
        </w:tc>
      </w:tr>
      <w:tr>
        <w:tc>
          <w:tcPr>
            <w:tcW w:w="604"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bottom w:val="single" w:sz="8" w:space="0" w:color="auto"/>
              <w:right w:val="single" w:sz="8" w:space="0" w:color="auto"/>
            </w:tcBorders>
            <w:shd w:val="clear" w:color="auto" w:fill="auto"/>
            <w:tcMar>
              <w:left w:w="108" w:type="dxa"/>
              <w:right w:w="108" w:type="dxa"/>
            </w:tcMar>
            <w:vAlign w:val="center"/>
          </w:tcPr>
          <w:p/>
        </w:tc>
        <w:tc>
          <w:tcPr>
            <w:tcW w:w="550"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结果维持</w:t>
            </w:r>
          </w:p>
        </w:tc>
        <w:tc>
          <w:tcPr>
            <w:tcW w:w="605"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结果纠正</w:t>
            </w:r>
          </w:p>
        </w:tc>
        <w:tc>
          <w:tcPr>
            <w:tcW w:w="605" w:type="dxa"/>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其他结果</w:t>
            </w:r>
          </w:p>
        </w:tc>
        <w:tc>
          <w:tcPr>
            <w:tcW w:w="605" w:type="dxa"/>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尚未审结</w:t>
            </w:r>
          </w:p>
        </w:tc>
        <w:tc>
          <w:tcPr>
            <w:tcW w:w="605" w:type="dxa"/>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总计</w:t>
            </w:r>
          </w:p>
        </w:tc>
        <w:tc>
          <w:tcPr>
            <w:tcW w:w="605" w:type="dxa"/>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结果维持</w:t>
            </w:r>
          </w:p>
        </w:tc>
        <w:tc>
          <w:tcPr>
            <w:tcW w:w="605" w:type="dxa"/>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结果纠正</w:t>
            </w:r>
          </w:p>
        </w:tc>
        <w:tc>
          <w:tcPr>
            <w:tcW w:w="605" w:type="dxa"/>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其他结果</w:t>
            </w:r>
          </w:p>
        </w:tc>
        <w:tc>
          <w:tcPr>
            <w:tcW w:w="606" w:type="dxa"/>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尚未审结</w:t>
            </w:r>
          </w:p>
        </w:tc>
        <w:tc>
          <w:tcPr>
            <w:tcW w:w="606" w:type="dxa"/>
            <w:tcBorders>
              <w:top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4"/>
                <w:szCs w:val="24"/>
              </w:rPr>
            </w:pPr>
            <w:r>
              <w:rPr>
                <w:rFonts w:ascii="宋体" w:cs="宋体" w:hint="eastAsia"/>
                <w:kern w:val="0"/>
                <w:sz w:val="24"/>
                <w:szCs w:val="24"/>
                <w:lang w:bidi="ar-SA"/>
              </w:rPr>
              <w:t>总计</w:t>
            </w:r>
          </w:p>
        </w:tc>
      </w:tr>
      <w:tr>
        <w:trPr>
          <w:trHeight w:val="862"/>
        </w:trPr>
        <w:tc>
          <w:tcPr>
            <w:tcW w:w="604" w:type="dxa"/>
            <w:tcBorders>
              <w:left w:val="single" w:sz="8" w:space="0" w:color="auto"/>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8"/>
                <w:szCs w:val="28"/>
              </w:rPr>
            </w:pPr>
            <w:r>
              <w:rPr>
                <w:sz w:val="28"/>
                <w:szCs w:val="28"/>
              </w:rPr>
              <w:t>0</w:t>
            </w:r>
          </w:p>
        </w:tc>
        <w:tc>
          <w:tcPr>
            <w:tcW w:w="604"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8"/>
                <w:szCs w:val="28"/>
              </w:rPr>
            </w:pPr>
            <w:r>
              <w:rPr>
                <w:sz w:val="28"/>
                <w:szCs w:val="28"/>
              </w:rPr>
              <w:t>0</w:t>
            </w:r>
          </w:p>
        </w:tc>
        <w:tc>
          <w:tcPr>
            <w:tcW w:w="604"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8"/>
                <w:szCs w:val="28"/>
              </w:rPr>
            </w:pPr>
            <w:r>
              <w:rPr>
                <w:sz w:val="28"/>
                <w:szCs w:val="28"/>
              </w:rPr>
              <w:t>0</w:t>
            </w:r>
          </w:p>
        </w:tc>
        <w:tc>
          <w:tcPr>
            <w:tcW w:w="604"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8"/>
                <w:szCs w:val="28"/>
              </w:rPr>
            </w:pPr>
            <w:r>
              <w:rPr>
                <w:sz w:val="28"/>
                <w:szCs w:val="28"/>
              </w:rPr>
              <w:t>0</w:t>
            </w:r>
          </w:p>
        </w:tc>
        <w:tc>
          <w:tcPr>
            <w:tcW w:w="658"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8"/>
                <w:szCs w:val="28"/>
              </w:rPr>
            </w:pPr>
            <w:r>
              <w:rPr>
                <w:sz w:val="28"/>
                <w:szCs w:val="28"/>
              </w:rPr>
              <w:t>0</w:t>
            </w:r>
          </w:p>
        </w:tc>
        <w:tc>
          <w:tcPr>
            <w:tcW w:w="550"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8"/>
                <w:szCs w:val="28"/>
              </w:rPr>
            </w:pPr>
            <w:r>
              <w:rPr>
                <w:sz w:val="28"/>
                <w:szCs w:val="28"/>
              </w:rPr>
              <w:t>0</w:t>
            </w:r>
          </w:p>
        </w:tc>
        <w:tc>
          <w:tcPr>
            <w:tcW w:w="605"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8"/>
                <w:szCs w:val="28"/>
              </w:rPr>
            </w:pPr>
            <w:r>
              <w:rPr>
                <w:sz w:val="28"/>
                <w:szCs w:val="28"/>
              </w:rPr>
              <w:t>0</w:t>
            </w:r>
          </w:p>
        </w:tc>
        <w:tc>
          <w:tcPr>
            <w:tcW w:w="605"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8"/>
                <w:szCs w:val="28"/>
              </w:rPr>
            </w:pPr>
            <w:r>
              <w:rPr>
                <w:sz w:val="28"/>
                <w:szCs w:val="28"/>
              </w:rPr>
              <w:t>0</w:t>
            </w:r>
          </w:p>
        </w:tc>
        <w:tc>
          <w:tcPr>
            <w:tcW w:w="605"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8"/>
                <w:szCs w:val="28"/>
              </w:rPr>
            </w:pPr>
            <w:r>
              <w:rPr>
                <w:sz w:val="28"/>
                <w:szCs w:val="28"/>
              </w:rPr>
              <w:t>0</w:t>
            </w:r>
          </w:p>
        </w:tc>
        <w:tc>
          <w:tcPr>
            <w:tcW w:w="605"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8"/>
                <w:szCs w:val="28"/>
              </w:rPr>
            </w:pPr>
            <w:r>
              <w:rPr>
                <w:sz w:val="28"/>
                <w:szCs w:val="28"/>
              </w:rPr>
              <w:t>0</w:t>
            </w:r>
          </w:p>
        </w:tc>
        <w:tc>
          <w:tcPr>
            <w:tcW w:w="605"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8"/>
                <w:szCs w:val="28"/>
              </w:rPr>
            </w:pPr>
            <w:r>
              <w:rPr>
                <w:sz w:val="28"/>
                <w:szCs w:val="28"/>
              </w:rPr>
              <w:t>0</w:t>
            </w:r>
          </w:p>
        </w:tc>
        <w:tc>
          <w:tcPr>
            <w:tcW w:w="605"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8"/>
                <w:szCs w:val="28"/>
              </w:rPr>
            </w:pPr>
            <w:r>
              <w:rPr>
                <w:sz w:val="28"/>
                <w:szCs w:val="28"/>
              </w:rPr>
              <w:t>0</w:t>
            </w:r>
          </w:p>
        </w:tc>
        <w:tc>
          <w:tcPr>
            <w:tcW w:w="605"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8"/>
                <w:szCs w:val="28"/>
              </w:rPr>
            </w:pPr>
            <w:r>
              <w:rPr>
                <w:sz w:val="28"/>
                <w:szCs w:val="28"/>
              </w:rPr>
              <w:t>0</w:t>
            </w:r>
          </w:p>
        </w:tc>
        <w:tc>
          <w:tcPr>
            <w:tcW w:w="606"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kern w:val="0"/>
                <w:sz w:val="28"/>
                <w:szCs w:val="28"/>
              </w:rPr>
            </w:pPr>
            <w:r>
              <w:rPr>
                <w:kern w:val="0"/>
                <w:sz w:val="28"/>
                <w:szCs w:val="28"/>
              </w:rPr>
              <w:t>0</w:t>
            </w:r>
          </w:p>
        </w:tc>
        <w:tc>
          <w:tcPr>
            <w:tcW w:w="606" w:type="dxa"/>
            <w:tcBorders>
              <w:bottom w:val="single" w:sz="8" w:space="0" w:color="auto"/>
              <w:right w:val="single" w:sz="8" w:space="0" w:color="auto"/>
            </w:tcBorders>
            <w:shd w:val="clear" w:color="auto" w:fill="auto"/>
            <w:tcMar>
              <w:left w:w="108" w:type="dxa"/>
              <w:right w:w="108" w:type="dxa"/>
            </w:tcMar>
            <w:vAlign w:val="center"/>
          </w:tcPr>
          <w:p>
            <w:pPr>
              <w:pStyle w:val="39"/>
              <w:widowControl/>
              <w:jc w:val="center"/>
              <w:rPr>
                <w:kern w:val="0"/>
                <w:sz w:val="28"/>
                <w:szCs w:val="28"/>
              </w:rPr>
            </w:pPr>
            <w:r>
              <w:rPr>
                <w:kern w:val="0"/>
                <w:sz w:val="28"/>
                <w:szCs w:val="28"/>
              </w:rPr>
              <w:t>0</w:t>
            </w:r>
          </w:p>
        </w:tc>
      </w:tr>
    </w:tbl>
    <w:p>
      <w:pPr>
        <w:pStyle w:val="27"/>
        <w:widowControl/>
        <w:shd w:val="clear" w:color="auto" w:fill="FFFFFF"/>
        <w:spacing w:beforeLines="50" w:before="218" w:beforeAutospacing="0" w:afterAutospacing="0" w:line="560" w:lineRule="exact"/>
        <w:ind w:firstLineChars="200" w:firstLine="640"/>
        <w:jc w:val="both"/>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五、存在的主要问题及改进情况</w:t>
      </w:r>
    </w:p>
    <w:p>
      <w:pPr>
        <w:pStyle w:val="52"/>
        <w:adjustRightInd w:val="0"/>
        <w:snapToGrid w:val="0"/>
        <w:ind w:firstLineChars="200" w:firstLine="624"/>
      </w:pPr>
      <w:r>
        <w:rPr>
          <w:rFonts w:eastAsia="方正楷体_GBK" w:hint="eastAsia"/>
          <w:b/>
          <w:bCs/>
        </w:rPr>
        <w:t>（一）2024年年报中所提问题整改情况。</w:t>
      </w:r>
    </w:p>
    <w:p>
      <w:pPr>
        <w:pStyle w:val="132"/>
        <w:spacing w:line="560" w:lineRule="exact"/>
        <w:ind w:firstLineChars="200" w:firstLine="624"/>
      </w:pPr>
      <w:r>
        <w:rPr>
          <w:spacing w:val="-4"/>
        </w:rPr>
        <w:t>静海海关积极整改，积极组织分关干部职工开展</w:t>
      </w:r>
      <w:r>
        <w:rPr>
          <w:rFonts w:hint="eastAsia"/>
          <w:spacing w:val="-4"/>
        </w:rPr>
        <w:t>政务公开工作</w:t>
      </w:r>
      <w:r>
        <w:rPr>
          <w:spacing w:val="-4"/>
        </w:rPr>
        <w:t>培训，</w:t>
      </w:r>
      <w:r>
        <w:rPr>
          <w:rFonts w:hint="eastAsia"/>
          <w:spacing w:val="-4"/>
        </w:rPr>
        <w:t>使用AB角机制，由具有工作经验的干部“老带新”学习政务信息公开操作流程和各项工作规范，</w:t>
      </w:r>
      <w:r>
        <w:rPr>
          <w:spacing w:val="-4"/>
        </w:rPr>
        <w:t>聚焦</w:t>
      </w:r>
      <w:r>
        <w:rPr>
          <w:rFonts w:hint="eastAsia"/>
          <w:spacing w:val="-4"/>
        </w:rPr>
        <w:t>政务公开易错易疏忽</w:t>
      </w:r>
      <w:r>
        <w:rPr>
          <w:spacing w:val="-4"/>
        </w:rPr>
        <w:t>重点问题，</w:t>
      </w:r>
      <w:r>
        <w:rPr>
          <w:rFonts w:hint="eastAsia"/>
          <w:spacing w:val="-4"/>
        </w:rPr>
        <w:t>进行针对性解答，基本操作整体工作水平有较大提高。</w:t>
      </w:r>
    </w:p>
    <w:p>
      <w:pPr>
        <w:pStyle w:val="45"/>
        <w:adjustRightInd w:val="0"/>
        <w:snapToGrid w:val="0"/>
        <w:ind w:firstLineChars="200" w:firstLine="624"/>
        <w:rPr>
          <w:rFonts w:ascii="方正楷体_GBK" w:eastAsia="方正楷体_GBK" w:hint="eastAsia"/>
          <w:b/>
          <w:bCs/>
        </w:rPr>
      </w:pPr>
      <w:r>
        <w:rPr>
          <w:rFonts w:ascii="方正楷体_GBK" w:eastAsia="方正楷体_GBK" w:hint="eastAsia"/>
          <w:b/>
          <w:bCs/>
        </w:rPr>
        <w:t>（二）目前存在问题。</w:t>
      </w:r>
    </w:p>
    <w:p>
      <w:pPr>
        <w:pStyle w:val="45"/>
        <w:adjustRightInd w:val="0"/>
        <w:snapToGrid w:val="0"/>
        <w:ind w:firstLineChars="200" w:firstLine="624"/>
      </w:pPr>
      <w:r>
        <w:rPr>
          <w:rFonts w:hint="eastAsia"/>
        </w:rPr>
        <w:t>政府信息公开相关制度学习深度不足，仅满足于完成主动公开基本规定动作，在应对复杂公开申请时能力还需要进一步加强。</w:t>
      </w:r>
      <w:r>
        <w:t xml:space="preserve"> </w:t>
      </w:r>
    </w:p>
    <w:p>
      <w:pPr>
        <w:pStyle w:val="27"/>
        <w:widowControl/>
        <w:shd w:val="clear" w:color="auto" w:fill="FFFFFF"/>
        <w:spacing w:beforeAutospacing="0" w:afterAutospacing="0" w:line="560" w:lineRule="exact"/>
        <w:ind w:firstLineChars="200" w:firstLine="640"/>
        <w:jc w:val="both"/>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六、其他需要报告的事项</w:t>
      </w:r>
      <w:bookmarkEnd w:id="1"/>
    </w:p>
    <w:p>
      <w:pPr>
        <w:pStyle w:val="130"/>
        <w:adjustRightInd w:val="0"/>
        <w:snapToGrid w:val="0"/>
        <w:ind w:firstLineChars="200" w:firstLine="624"/>
      </w:pPr>
      <w:r>
        <w:rPr>
          <w:rFonts w:hint="eastAsia"/>
        </w:rPr>
        <w:t>静海海关无其他需要报告的事项。</w:t>
      </w:r>
    </w:p>
    <w:p>
      <w:pPr>
        <w:pStyle w:val="128"/>
        <w:adjustRightInd w:val="0"/>
        <w:snapToGrid w:val="0"/>
        <w:ind w:firstLineChars="200" w:firstLine="624"/>
      </w:pPr>
      <w:r>
        <w:rPr>
          <w:rFonts w:hint="eastAsia"/>
        </w:rPr>
        <w:t>（报告中所列数据的统计期限自2025年1月1日至12月31日止。如对报告有疑问，请与静海海关办公室联系，地址：天津市静海区迎宾大道99号静海海关；联系电话：022-84202733）</w:t>
      </w:r>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楷体_GB2312">
    <w:altName w:val="楷体"/>
    <w:panose1 w:val="00000000000000000000"/>
    <w:charset w:val="00"/>
    <w:family w:val="auto"/>
    <w:pitch w:val="variable"/>
    <w:sig w:usb0="00000000" w:usb1="00000000" w:usb2="00000000" w:usb3="00000000" w:csb0="00040001"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宋体">
    <w:altName w:val="华文宋体"/>
    <w:panose1 w:val="02010600030101010101"/>
    <w:charset w:val="86"/>
    <w:family w:val="auto"/>
    <w:pitch w:val="variable"/>
    <w:sig w:usb0="00000003" w:usb1="288F0000" w:usb2="00000006" w:usb3="00000000" w:csb0="00040001" w:csb1="00000000"/>
  </w:font>
  <w:font w:name="楷体">
    <w:altName w:val="方正楷体_GBK"/>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黑体">
    <w:altName w:val="华文细黑"/>
    <w:panose1 w:val="02010609060101010101"/>
    <w:charset w:val="86"/>
    <w:family w:val="auto"/>
    <w:pitch w:val="variable"/>
    <w:sig w:usb0="800002BF" w:usb1="38CF7CFA" w:usb2="00000016" w:usb3="00000000" w:csb0="00040001" w:csb1="00000000"/>
  </w:font>
  <w:font w:name="Calibri">
    <w:altName w:val="Times New Roman"/>
    <w:panose1 w:val="020F0502020204030204"/>
    <w:charset w:val="00"/>
    <w:family w:val="swiss"/>
    <w:pitch w:val="variable"/>
    <w:sig w:usb0="E10002FF" w:usb1="4000ACFF" w:usb2="00000009"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framePr w:w="0" w:hRule="auto" w:wrap="around" w:vAnchor="text" w:hAnchor="margin" w:xAlign="outside" w:y="1" w:anchorLock="0"/>
      <w:tabs>
        <w:tab w:val="center" w:pos="4153"/>
        <w:tab w:val="right" w:pos="8306"/>
      </w:tabs>
    </w:pPr>
    <w:r>
      <w:rPr>
        <w:rStyle w:val="29"/>
      </w:rPr>
      <w:fldChar w:fldCharType="begin"/>
    </w:r>
    <w:r>
      <w:rPr>
        <w:rStyle w:val="29"/>
      </w:rPr>
      <w:instrText>Page</w:instrText>
    </w:r>
    <w:r>
      <w:rPr>
        <w:rStyle w:val="29"/>
      </w:rPr>
      <w:fldChar w:fldCharType="separate"/>
    </w:r>
    <w:r>
      <w:rPr>
        <w:rStyle w:val="29"/>
      </w:rPr>
      <w:t>- 1 -</w:t>
    </w:r>
    <w:r>
      <w:rPr>
        <w:rStyle w:val="29"/>
      </w:rPr>
      <w:fldChar w:fldCharType="end"/>
    </w:r>
  </w:p>
  <w:p>
    <w:pPr>
      <w:pStyle w:val="21"/>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framePr w:w="0" w:hRule="auto" w:wrap="around" w:vAnchor="text" w:hAnchor="margin" w:xAlign="outside" w:y="1" w:anchorLock="0"/>
      <w:tabs>
        <w:tab w:val="center" w:pos="4153"/>
        <w:tab w:val="right" w:pos="8306"/>
      </w:tabs>
    </w:pPr>
    <w:r>
      <w:rPr>
        <w:rStyle w:val="29"/>
      </w:rPr>
      <w:fldChar w:fldCharType="begin"/>
    </w:r>
    <w:r>
      <w:rPr>
        <w:rStyle w:val="29"/>
      </w:rPr>
      <w:instrText>Page</w:instrText>
    </w:r>
    <w:r>
      <w:rPr>
        <w:rStyle w:val="29"/>
      </w:rPr>
      <w:fldChar w:fldCharType="separate"/>
    </w:r>
    <w:r>
      <w:rPr>
        <w:rStyle w:val="29"/>
      </w:rPr>
      <w:t>- 2 -</w:t>
    </w:r>
    <w:r>
      <w:rPr>
        <w:rStyle w:val="29"/>
      </w:rPr>
      <w:fldChar w:fldCharType="end"/>
    </w:r>
  </w:p>
  <w:p>
    <w:pPr>
      <w:pStyle w:val="21"/>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21"/>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E263C9C"/>
    <w:multiLevelType w:val="singleLevel"/>
    <w:tmpl w:val="AE263C9C"/>
    <w:lvl w:ilvl="0">
      <w:start w:val="1"/>
      <w:numFmt w:val="decimal"/>
      <w:lvlRestart w:val="0"/>
      <w:pStyle w:val="15"/>
      <w:lvlText w:val="%1."/>
      <w:lvlJc w:val="left"/>
      <w:pPr>
        <w:tabs>
          <w:tab w:val="num" w:pos="780"/>
        </w:tabs>
        <w:ind w:left="780" w:hanging="36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48"/>
  <w:doNotDisplayPageBoundaries/>
  <w:bordersDoNotSurroundHeader/>
  <w:bordersDoNotSurroundFooter/>
  <w:trackRevisions/>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List Number 2"/>
    <w:basedOn w:val="0"/>
    <w:pPr>
      <w:numPr>
        <w:ilvl w:val="0"/>
        <w:numId w:val="1"/>
      </w:numPr>
    </w:pPr>
  </w:style>
  <w:style w:type="paragraph" w:styleId="16">
    <w:name w:val="index 8"/>
    <w:basedOn w:val="0"/>
    <w:next w:val="0"/>
    <w:pPr>
      <w:ind w:left="2940"/>
    </w:pPr>
  </w:style>
  <w:style w:type="paragraph" w:styleId="17">
    <w:name w:val="index 5"/>
    <w:basedOn w:val="0"/>
    <w:next w:val="0"/>
    <w:pPr>
      <w:ind w:left="1680"/>
    </w:pPr>
  </w:style>
  <w:style w:type="paragraph" w:styleId="18">
    <w:name w:val="annotation text"/>
    <w:basedOn w:val="0"/>
    <w:pPr>
      <w:jc w:val="left"/>
    </w:pPr>
  </w:style>
  <w:style w:type="paragraph" w:styleId="19">
    <w:name w:val="index 6"/>
    <w:basedOn w:val="0"/>
    <w:next w:val="0"/>
    <w:pPr>
      <w:ind w:left="21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sz w:val="18"/>
      <w:szCs w:val="18"/>
    </w:rPr>
  </w:style>
  <w:style w:type="paragraph" w:styleId="22">
    <w:name w:val="header"/>
    <w:basedOn w:val="0"/>
    <w:pPr>
      <w:pBdr>
        <w:bottom w:val="single" w:sz="6" w:space="1" w:color="auto"/>
      </w:pBdr>
      <w:tabs>
        <w:tab w:val="center" w:pos="4153"/>
        <w:tab w:val="right" w:pos="8306"/>
      </w:tabs>
      <w:snapToGrid w:val="0"/>
      <w:jc w:val="center"/>
    </w:pPr>
    <w:rPr>
      <w:sz w:val="18"/>
      <w:szCs w:val="18"/>
    </w:rPr>
  </w:style>
  <w:style w:type="paragraph" w:styleId="23">
    <w:name w:val="toc 1"/>
    <w:basedOn w:val="0"/>
    <w:next w:val="0"/>
  </w:style>
  <w:style w:type="paragraph" w:styleId="24">
    <w:name w:val="index 7"/>
    <w:basedOn w:val="0"/>
    <w:next w:val="0"/>
    <w:pPr>
      <w:ind w:left="2520"/>
    </w:pPr>
  </w:style>
  <w:style w:type="paragraph" w:styleId="25">
    <w:name w:val="index 9"/>
    <w:basedOn w:val="0"/>
    <w:next w:val="0"/>
    <w:pPr>
      <w:ind w:left="3360"/>
    </w:pPr>
  </w:style>
  <w:style w:type="paragraph" w:styleId="26">
    <w:name w:val="toc 2"/>
    <w:basedOn w:val="0"/>
    <w:next w:val="0"/>
    <w:pPr>
      <w:ind w:left="420"/>
    </w:pPr>
  </w:style>
  <w:style w:type="paragraph" w:styleId="27">
    <w:name w:val="Normal (Web)"/>
    <w:next w:val="21"/>
    <w:pPr>
      <w:widowControl w:val="0"/>
      <w:spacing w:beforeAutospacing="1" w:afterAutospacing="1"/>
    </w:pPr>
    <w:rPr>
      <w:rFonts w:ascii="Times New Roman" w:eastAsia="宋体" w:cs="Times New Roman" w:hAnsi="Times New Roman"/>
      <w:sz w:val="24"/>
      <w:szCs w:val="30"/>
      <w:lang w:val="en-US" w:eastAsia="zh-CN" w:bidi="ar-SA"/>
    </w:rPr>
  </w:style>
  <w:style w:type="paragraph" w:styleId="28">
    <w:name w:val="annotation subject"/>
    <w:basedOn w:val="18"/>
    <w:next w:val="18"/>
    <w:rPr>
      <w:b/>
      <w:bCs/>
    </w:rPr>
  </w:style>
  <w:style w:type="character" w:styleId="29">
    <w:name w:val="page number"/>
    <w:basedOn w:val="10"/>
  </w:style>
  <w:style w:type="paragraph" w:customStyle="1" w:styleId="30">
    <w:name w:val="正文1"/>
    <w:next w:val="31"/>
    <w:pPr>
      <w:widowControl w:val="0"/>
      <w:jc w:val="both"/>
    </w:pPr>
    <w:rPr>
      <w:rFonts w:ascii="Times New Roman" w:eastAsia="方正仿宋_GBK" w:cs="Times New Roman" w:hAnsi="Times New Roman"/>
      <w:kern w:val="2"/>
      <w:sz w:val="32"/>
      <w:szCs w:val="20"/>
      <w:lang w:val="en-US" w:eastAsia="zh-CN" w:bidi="ar-SA"/>
    </w:rPr>
  </w:style>
  <w:style w:type="paragraph" w:customStyle="1" w:styleId="31">
    <w:name w:val="正文6"/>
    <w:pPr>
      <w:widowControl w:val="0"/>
      <w:jc w:val="both"/>
    </w:pPr>
    <w:rPr>
      <w:rFonts w:ascii="Times New Roman" w:eastAsia="方正仿宋_GBK" w:cs="Times New Roman" w:hAnsi="Times New Roman"/>
      <w:kern w:val="2"/>
      <w:sz w:val="32"/>
      <w:szCs w:val="20"/>
      <w:lang w:val="en-US" w:eastAsia="zh-CN" w:bidi="ar-SA"/>
    </w:rPr>
  </w:style>
  <w:style w:type="paragraph" w:customStyle="1" w:styleId="32">
    <w:name w:val="正文2"/>
    <w:pPr>
      <w:widowControl w:val="0"/>
      <w:jc w:val="both"/>
    </w:pPr>
    <w:rPr>
      <w:rFonts w:ascii="Times New Roman" w:eastAsia="方正仿宋_GBK" w:cs="Times New Roman" w:hAnsi="Times New Roman"/>
      <w:kern w:val="2"/>
      <w:sz w:val="32"/>
      <w:szCs w:val="20"/>
      <w:lang w:val="en-US" w:eastAsia="zh-CN" w:bidi="ar-SA"/>
    </w:rPr>
  </w:style>
  <w:style w:type="paragraph" w:customStyle="1" w:styleId="33">
    <w:name w:val="正文3"/>
    <w:pPr>
      <w:widowControl w:val="0"/>
      <w:jc w:val="both"/>
    </w:pPr>
    <w:rPr>
      <w:rFonts w:ascii="Times New Roman" w:eastAsia="方正仿宋_GBK" w:cs="Times New Roman" w:hAnsi="Times New Roman"/>
      <w:kern w:val="2"/>
      <w:sz w:val="32"/>
      <w:szCs w:val="20"/>
      <w:lang w:val="en-US" w:eastAsia="zh-CN" w:bidi="ar-SA"/>
    </w:rPr>
  </w:style>
  <w:style w:type="paragraph" w:customStyle="1" w:styleId="34">
    <w:name w:val="正文4"/>
    <w:pPr>
      <w:widowControl w:val="0"/>
      <w:jc w:val="both"/>
    </w:pPr>
    <w:rPr>
      <w:rFonts w:ascii="Times New Roman" w:eastAsia="方正仿宋_GBK" w:cs="Times New Roman" w:hAnsi="Times New Roman"/>
      <w:kern w:val="2"/>
      <w:sz w:val="32"/>
      <w:szCs w:val="20"/>
      <w:lang w:val="en-US" w:eastAsia="zh-CN" w:bidi="ar-SA"/>
    </w:rPr>
  </w:style>
  <w:style w:type="paragraph" w:customStyle="1" w:styleId="35">
    <w:name w:val="正文5"/>
    <w:pPr>
      <w:widowControl w:val="0"/>
      <w:jc w:val="both"/>
    </w:pPr>
    <w:rPr>
      <w:rFonts w:ascii="Times New Roman" w:eastAsia="方正仿宋_GBK" w:cs="Times New Roman" w:hAnsi="Times New Roman"/>
      <w:kern w:val="2"/>
      <w:sz w:val="32"/>
      <w:szCs w:val="20"/>
      <w:lang w:val="en-US" w:eastAsia="zh-CN" w:bidi="ar-SA"/>
    </w:rPr>
  </w:style>
  <w:style w:type="paragraph" w:customStyle="1" w:styleId="36">
    <w:name w:val="正文7"/>
    <w:pPr>
      <w:widowControl w:val="0"/>
      <w:jc w:val="both"/>
    </w:pPr>
    <w:rPr>
      <w:rFonts w:ascii="Times New Roman" w:eastAsia="方正仿宋_GBK" w:cs="Times New Roman" w:hAnsi="Times New Roman"/>
      <w:kern w:val="2"/>
      <w:sz w:val="32"/>
      <w:szCs w:val="20"/>
      <w:lang w:val="en-US" w:eastAsia="zh-CN" w:bidi="ar-SA"/>
    </w:rPr>
  </w:style>
  <w:style w:type="paragraph" w:customStyle="1" w:styleId="37">
    <w:name w:val="样式 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8">
    <w:name w:val="样式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9">
    <w:name w:val="样式 小三"/>
    <w:next w:val="26"/>
    <w:pPr>
      <w:widowControl w:val="0"/>
      <w:jc w:val="both"/>
    </w:pPr>
    <w:rPr>
      <w:rFonts w:ascii="Times New Roman" w:eastAsia="宋体" w:cs="Times New Roman" w:hAnsi="Times New Roman"/>
      <w:kern w:val="2"/>
      <w:sz w:val="30"/>
      <w:szCs w:val="30"/>
      <w:lang w:val="en-US" w:eastAsia="zh-CN" w:bidi="ar-SA"/>
    </w:rPr>
  </w:style>
  <w:style w:type="paragraph" w:customStyle="1" w:styleId="40">
    <w:name w:val="样式 1 小四"/>
    <w:next w:val="31"/>
    <w:pPr>
      <w:widowControl w:val="0"/>
    </w:pPr>
    <w:rPr>
      <w:rFonts w:ascii="宋体" w:eastAsia="宋体" w:cs="Times New Roman"/>
      <w:kern w:val="2"/>
      <w:sz w:val="24"/>
      <w:szCs w:val="20"/>
      <w:lang w:val="en-US" w:eastAsia="zh-CN" w:bidi="ar-SA"/>
    </w:rPr>
  </w:style>
  <w:style w:type="paragraph" w:customStyle="1" w:styleId="41">
    <w:name w:val="样式 6 小四"/>
    <w:next w:val="3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2">
    <w:name w:val="样式 20 小四"/>
    <w:next w:val="17"/>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3">
    <w:name w:val="样式 12 三号"/>
    <w:next w:val="16"/>
    <w:pPr>
      <w:widowControl w:val="0"/>
      <w:jc w:val="both"/>
    </w:pPr>
    <w:rPr>
      <w:rFonts w:ascii="Times New Roman" w:eastAsia="方正仿宋_GBK" w:cs="Times New Roman" w:hAnsi="Times New Roman"/>
      <w:kern w:val="2"/>
      <w:sz w:val="32"/>
      <w:szCs w:val="20"/>
      <w:lang w:val="en-US" w:eastAsia="zh-CN" w:bidi="ar-SA"/>
    </w:rPr>
  </w:style>
  <w:style w:type="paragraph" w:customStyle="1" w:styleId="44">
    <w:name w:val="样式 50 三号"/>
    <w:next w:val="19"/>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5">
    <w:name w:val="样式 13 三号"/>
    <w:next w:val="24"/>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6">
    <w:name w:val="样式 2 三号"/>
    <w:next w:val="38"/>
    <w:pPr>
      <w:widowControl w:val="0"/>
      <w:jc w:val="both"/>
    </w:pPr>
    <w:rPr>
      <w:rFonts w:ascii="Times New Roman" w:eastAsia="方正仿宋_GBK" w:cs="Times New Roman" w:hAnsi="Times New Roman"/>
      <w:kern w:val="2"/>
      <w:sz w:val="32"/>
      <w:szCs w:val="20"/>
      <w:lang w:val="en-US" w:eastAsia="zh-CN" w:bidi="ar-SA"/>
    </w:rPr>
  </w:style>
  <w:style w:type="paragraph" w:customStyle="1" w:styleId="47">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8">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9">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0">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51">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2">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3">
    <w:name w:val="样式 小四"/>
    <w:pPr>
      <w:widowControl w:val="0"/>
    </w:pPr>
    <w:rPr>
      <w:rFonts w:ascii="宋体" w:eastAsia="宋体" w:cs="Times New Roman"/>
      <w:kern w:val="2"/>
      <w:sz w:val="24"/>
      <w:szCs w:val="20"/>
      <w:lang w:val="en-US" w:eastAsia="zh-CN" w:bidi="ar-SA"/>
    </w:rPr>
  </w:style>
  <w:style w:type="paragraph" w:customStyle="1" w:styleId="54">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59">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60">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61">
    <w:name w:val="样式 3 小四"/>
    <w:pPr>
      <w:widowControl w:val="0"/>
    </w:pPr>
    <w:rPr>
      <w:rFonts w:ascii="宋体" w:eastAsia="宋体" w:cs="Times New Roman"/>
      <w:kern w:val="2"/>
      <w:sz w:val="24"/>
      <w:szCs w:val="20"/>
      <w:lang w:val="en-US" w:eastAsia="zh-CN" w:bidi="ar-SA"/>
    </w:rPr>
  </w:style>
  <w:style w:type="paragraph" w:customStyle="1" w:styleId="6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6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7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7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7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7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7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7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77">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78">
    <w:name w:val="样式 4 小四"/>
    <w:pPr>
      <w:widowControl w:val="0"/>
      <w:spacing w:beforeAutospacing="1" w:afterAutospacing="1"/>
    </w:pPr>
    <w:rPr>
      <w:rFonts w:ascii="Times New Roman" w:eastAsia="宋体" w:cs="Times New Roman" w:hAnsi="Times New Roman"/>
      <w:sz w:val="24"/>
      <w:szCs w:val="30"/>
      <w:lang w:val="en-US" w:eastAsia="zh-CN" w:bidi="ar-SA"/>
    </w:rPr>
  </w:style>
  <w:style w:type="character" w:customStyle="1" w:styleId="79">
    <w:name w:val="unnamed11"/>
  </w:style>
  <w:style w:type="paragraph" w:customStyle="1" w:styleId="80">
    <w:name w:val="样式 1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1">
    <w:name w:val="样式 1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82">
    <w:name w:val="样式 1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83">
    <w:name w:val="样式 1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84">
    <w:name w:val="样式 1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5">
    <w:name w:val="样式 "/>
    <w:rPr>
      <w:rFonts w:ascii="Times New Roman" w:eastAsia="方正小标宋_GBK" w:cs="Times New Roman" w:hAnsi="Times New Roman"/>
      <w:sz w:val="20"/>
      <w:szCs w:val="20"/>
      <w:lang w:val="en-US" w:eastAsia="zh-CN" w:bidi="ar-SA"/>
    </w:rPr>
  </w:style>
  <w:style w:type="paragraph" w:customStyle="1" w:styleId="86">
    <w:name w:val="样式 1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87">
    <w:name w:val="样式 1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8">
    <w:name w:val="样式 1 "/>
    <w:rPr>
      <w:rFonts w:ascii="Times New Roman" w:eastAsia="方正小标宋_GBK" w:cs="Times New Roman" w:hAnsi="Times New Roman"/>
      <w:sz w:val="20"/>
      <w:szCs w:val="20"/>
      <w:lang w:val="en-US" w:eastAsia="zh-CN" w:bidi="ar-SA"/>
    </w:rPr>
  </w:style>
  <w:style w:type="paragraph" w:customStyle="1" w:styleId="89">
    <w:name w:val="样式 2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0">
    <w:name w:val="样式 2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1">
    <w:name w:val="样式 2 "/>
    <w:rPr>
      <w:rFonts w:ascii="Times New Roman" w:eastAsia="方正小标宋_GBK" w:cs="Times New Roman" w:hAnsi="Times New Roman"/>
      <w:sz w:val="20"/>
      <w:szCs w:val="20"/>
      <w:lang w:val="en-US" w:eastAsia="zh-CN" w:bidi="ar-SA"/>
    </w:rPr>
  </w:style>
  <w:style w:type="paragraph" w:customStyle="1" w:styleId="92">
    <w:name w:val="样式 2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3">
    <w:name w:val="样式 3 "/>
    <w:rPr>
      <w:rFonts w:ascii="Times New Roman" w:eastAsia="方正小标宋_GBK" w:cs="Times New Roman" w:hAnsi="Times New Roman"/>
      <w:sz w:val="20"/>
      <w:szCs w:val="20"/>
      <w:lang w:val="en-US" w:eastAsia="zh-CN" w:bidi="ar-SA"/>
    </w:rPr>
  </w:style>
  <w:style w:type="paragraph" w:customStyle="1" w:styleId="94">
    <w:name w:val="样式 2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5">
    <w:name w:val="样式 4 "/>
    <w:rPr>
      <w:rFonts w:ascii="Times New Roman" w:eastAsia="方正小标宋_GBK" w:cs="Times New Roman" w:hAnsi="Times New Roman"/>
      <w:sz w:val="20"/>
      <w:szCs w:val="20"/>
      <w:lang w:val="en-US" w:eastAsia="zh-CN" w:bidi="ar-SA"/>
    </w:rPr>
  </w:style>
  <w:style w:type="paragraph" w:customStyle="1" w:styleId="96">
    <w:name w:val="样式 2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7">
    <w:name w:val="样式 2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8">
    <w:name w:val="样式 2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9">
    <w:name w:val="样式 2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0">
    <w:name w:val="样式 5 "/>
    <w:rPr>
      <w:rFonts w:ascii="Times New Roman" w:eastAsia="方正小标宋_GBK" w:cs="Times New Roman" w:hAnsi="Times New Roman"/>
      <w:sz w:val="20"/>
      <w:szCs w:val="20"/>
      <w:lang w:val="en-US" w:eastAsia="zh-CN" w:bidi="ar-SA"/>
    </w:rPr>
  </w:style>
  <w:style w:type="paragraph" w:customStyle="1" w:styleId="101">
    <w:name w:val="样式 2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2">
    <w:name w:val="样式 2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3">
    <w:name w:val="样式 3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4">
    <w:name w:val="样式 3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5">
    <w:name w:val="样式 3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6">
    <w:name w:val="样式 3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7">
    <w:name w:val="样式 3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8">
    <w:name w:val="样式 3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9">
    <w:name w:val="样式 3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10">
    <w:name w:val="样式 3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11">
    <w:name w:val="样式 3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12">
    <w:name w:val="样式 3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13">
    <w:name w:val="样式 4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14">
    <w:name w:val="样式 4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15">
    <w:name w:val="样式 4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16">
    <w:name w:val="样式 4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17">
    <w:name w:val="样式 2 10 磅"/>
    <w:next w:val="48"/>
    <w:pPr>
      <w:widowControl w:val="0"/>
      <w:jc w:val="both"/>
    </w:pPr>
    <w:rPr>
      <w:rFonts w:ascii="Calibri" w:eastAsia="宋体" w:cs="Arial" w:hAnsi="Calibri"/>
      <w:kern w:val="2"/>
      <w:sz w:val="21"/>
      <w:szCs w:val="22"/>
      <w:lang w:val="en-US" w:eastAsia="zh-CN" w:bidi="ar-SA"/>
    </w:rPr>
  </w:style>
  <w:style w:type="paragraph" w:customStyle="1" w:styleId="118">
    <w:name w:val="样式 4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19">
    <w:name w:val="样式 4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20">
    <w:name w:val="样式 4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21">
    <w:name w:val="样式 4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22">
    <w:name w:val="样式 4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23">
    <w:name w:val="样式 4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24">
    <w:name w:val="样式 5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25">
    <w:name w:val="样式 5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26">
    <w:name w:val="样式 5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27">
    <w:name w:val="样式 5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128">
    <w:name w:val="样式 54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129">
    <w:name w:val="样式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130">
    <w:name w:val="样式 55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131">
    <w:name w:val="样式 5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32">
    <w:name w:val="样式 5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33">
    <w:name w:val="样式 5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34">
    <w:name w:val="样式 59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135">
    <w:name w:val="样式 6 "/>
    <w:rPr>
      <w:rFonts w:ascii="Times New Roman" w:eastAsia="方正小标宋_GBK" w:cs="Times New Roman" w:hAnsi="Times New Roman"/>
      <w:sz w:val="20"/>
      <w:szCs w:val="20"/>
      <w:lang w:val="en-US" w:eastAsia="zh-CN" w:bidi="ar-SA"/>
    </w:rPr>
  </w:style>
  <w:style w:type="paragraph" w:customStyle="1" w:styleId="136">
    <w:name w:val="样式 6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37">
    <w:name w:val="样式 6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38">
    <w:name w:val="样式 62 三号"/>
    <w:pPr>
      <w:widowControl w:val="0"/>
      <w:jc w:val="both"/>
    </w:pPr>
    <w:rPr>
      <w:rFonts w:ascii="Times New Roman" w:eastAsia="方正仿宋_GBK" w:cs="Times New Roman" w:hAnsi="Times New Roman"/>
      <w:kern w:val="2"/>
      <w:sz w:val="32"/>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19</TotalTime>
  <Application>Yozo_Office</Application>
  <Pages>6</Pages>
  <Words>1968</Words>
  <Characters>2013</Characters>
  <Lines>412</Lines>
  <Paragraphs>304</Paragraphs>
  <CharactersWithSpaces>2014</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苗鑫</cp:lastModifiedBy>
  <cp:revision>2</cp:revision>
  <cp:lastPrinted>2020-01-22T00:43:00Z</cp:lastPrinted>
  <dcterms:created xsi:type="dcterms:W3CDTF">2026-01-23T00:42:00Z</dcterms:created>
  <dcterms:modified xsi:type="dcterms:W3CDTF">2026-01-30T03:16:30Z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eyJoZGlkIjoiYzk2MDI5ZjA4MzQ4ZDQ0MTE4ZTQ3YzhlOTc1MDMyMGEifQ==</vt:lpwstr>
  </property>
  <property fmtid="{D5CDD505-2E9C-101B-9397-08002B2CF9AE}" pid="3" name="KSOProductBuildVer">
    <vt:lpwstr>2052-12.1.0.21915</vt:lpwstr>
  </property>
  <property fmtid="{D5CDD505-2E9C-101B-9397-08002B2CF9AE}" pid="4" name="ICV">
    <vt:lpwstr>A702337C53FE4135A1A9CC1DA4ABF912_13</vt:lpwstr>
  </property>
</Properties>
</file>