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9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r>
        <w:rPr>
          <w:rFonts w:ascii="方正小标宋_GBK" w:eastAsia="方正小标宋_GBK" w:cs="方正小标宋_GBK" w:hint="eastAsia"/>
          <w:sz w:val="44"/>
          <w:szCs w:val="44"/>
        </w:rPr>
        <w:t>天津新港海关202</w:t>
      </w:r>
      <w:r>
        <w:rPr>
          <w:rFonts w:ascii="方正小标宋_GBK" w:eastAsia="方正小标宋_GBK" w:cs="方正小标宋_GBK"/>
          <w:sz w:val="44"/>
          <w:szCs w:val="44"/>
        </w:rPr>
        <w:t>5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年政府信息公开工作</w:t>
      </w:r>
    </w:p>
    <w:p>
      <w:pPr>
        <w:pStyle w:val="29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年度报告</w:t>
      </w:r>
      <w:bookmarkEnd w:id="0"/>
    </w:p>
    <w:p>
      <w:pPr>
        <w:keepNext w:val="0"/>
        <w:keepLines w:val="0"/>
        <w:widowControl/>
        <w:suppressLineNumbers w:val="0"/>
        <w:spacing w:before="0" w:beforeAutospacing="1" w:after="0" w:afterAutospacing="1"/>
        <w:jc w:val="both"/>
      </w:pP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before="0" w:after="0" w:line="560" w:lineRule="exact"/>
        <w:ind w:left="640" w:right="108"/>
        <w:jc w:val="left"/>
        <w:rPr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ascii="方正黑体_GBK" w:eastAsia="方正黑体_GBK" w:cs="楷体_GB2312" w:hint="eastAsia"/>
          <w:bCs/>
          <w:spacing w:val="-4"/>
          <w:sz w:val="32"/>
          <w:szCs w:val="32"/>
          <w:shd w:val="clear" w:color="auto" w:fill="FFFFFF"/>
        </w:rPr>
        <w:t>一、</w:t>
      </w:r>
      <w:r>
        <w:rPr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  <w:lang w:val="en-US" w:eastAsia="zh-CN"/>
        </w:rPr>
        <w:t>总体情况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before="0" w:after="0" w:line="560" w:lineRule="exact"/>
        <w:ind w:right="108" w:firstLineChars="200" w:firstLine="616"/>
        <w:jc w:val="left"/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</w:pP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 xml:space="preserve">2025年，天津新港海关坚持以习近平新时代中国特色社会主义思想为指导，深入贯彻落实党的二十大和二十届历次全会精神，严格落实《中华人民共和国政府信息公开条例》等相关文件要求，紧紧围绕海关总署党委和天津海关党委决策部署，持续深化政府信息公开工作，全力保障人民群众的知情权、参与权、表达权和监督权。 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before="0" w:after="0" w:line="560" w:lineRule="exact"/>
        <w:ind w:left="616" w:right="108"/>
        <w:jc w:val="left"/>
        <w:rPr>
          <w:rFonts w:ascii="方正楷体_GBK" w:eastAsia="方正楷体_GBK" w:cs="Microsoft YaHei UI" w:hint="eastAsia"/>
          <w:b/>
          <w:spacing w:val="-6"/>
          <w:sz w:val="32"/>
          <w:szCs w:val="32"/>
          <w:shd w:val="clear" w:color="auto" w:fill="auto"/>
          <w:lang w:val="en-US" w:eastAsia="zh-CN"/>
        </w:rPr>
      </w:pPr>
      <w:r>
        <w:rPr>
          <w:rFonts w:ascii="方正楷体_GBK" w:eastAsia="方正楷体_GBK" w:cs="Microsoft YaHei UI"/>
          <w:b/>
          <w:spacing w:val="-6"/>
          <w:sz w:val="32"/>
          <w:szCs w:val="32"/>
          <w:shd w:val="clear" w:color="auto" w:fill="auto"/>
          <w:lang w:val="en-US" w:eastAsia="zh-CN"/>
        </w:rPr>
        <w:t>（一）</w:t>
      </w:r>
      <w:r>
        <w:rPr>
          <w:rFonts w:ascii="方正楷体_GBK" w:eastAsia="方正楷体_GBK" w:cs="Microsoft YaHei UI" w:hint="eastAsia"/>
          <w:b/>
          <w:spacing w:val="-6"/>
          <w:sz w:val="32"/>
          <w:szCs w:val="32"/>
          <w:shd w:val="clear" w:color="auto" w:fill="auto"/>
          <w:lang w:val="en-US" w:eastAsia="zh-CN"/>
        </w:rPr>
        <w:t>聚焦发展大局，提升主动公开质效。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before="0" w:after="0" w:line="560" w:lineRule="exact"/>
        <w:ind w:right="108" w:firstLineChars="200" w:firstLine="616"/>
        <w:jc w:val="left"/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</w:pP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 xml:space="preserve"> 坚持“公开为常态、不公开为例外”原则，依法、及时、准确公开政府信息。全年通过天津海关门户网站、业务现场信息公告栏、政务新媒体等多种渠道，主动公开包括政策法规、办事指南、工作动态、“双随机、一公开”监管结果等各类政府信息，积极营造公开透明的政务环境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line="560" w:lineRule="exact"/>
        <w:ind w:left="0" w:right="108" w:firstLineChars="200" w:firstLine="616"/>
        <w:jc w:val="left"/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</w:pPr>
      <w:r>
        <w:rPr>
          <w:rFonts w:ascii="方正楷体_GBK" w:eastAsia="方正楷体_GBK" w:cs="Microsoft YaHei UI"/>
          <w:b/>
          <w:spacing w:val="-6"/>
          <w:sz w:val="32"/>
          <w:szCs w:val="32"/>
          <w:shd w:val="clear" w:color="auto" w:fill="auto"/>
        </w:rPr>
        <w:t>（二）</w:t>
      </w:r>
      <w:r>
        <w:rPr>
          <w:rFonts w:ascii="方正楷体_GBK" w:eastAsia="方正楷体_GBK" w:cs="Microsoft YaHei UI" w:hint="eastAsia"/>
          <w:b/>
          <w:spacing w:val="-6"/>
          <w:sz w:val="32"/>
          <w:szCs w:val="32"/>
          <w:shd w:val="clear" w:color="auto" w:fill="auto"/>
        </w:rPr>
        <w:t>规范办理流程，依法做好依申请公开。</w:t>
      </w: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line="560" w:lineRule="exact"/>
        <w:ind w:left="0" w:right="108" w:firstLineChars="200" w:firstLine="616"/>
        <w:jc w:val="left"/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</w:pP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>严格按照《天津海关政府信息公开工作规程》要求，建立健全申请接收、登记、审核、办理、答复、归档等工作制度，确保依申请公开工作规范有序。畅通受理渠道，明确办公室为依申请公开受理机构</w:t>
      </w:r>
      <w:r>
        <w:rPr>
          <w:rFonts w:ascii="Times New Roman" w:eastAsia="方正仿宋_GBK" w:cs="Microsoft YaHei UI" w:hAnsi="Times New Roman"/>
          <w:spacing w:val="-6"/>
          <w:sz w:val="32"/>
          <w:szCs w:val="32"/>
          <w:shd w:val="clear" w:color="auto" w:fill="auto"/>
          <w:lang w:val="en-US" w:eastAsia="zh-CN"/>
        </w:rPr>
        <w:t>，</w:t>
      </w: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 xml:space="preserve">提供现场、信函、网络等多种申请方式。在办理过程中，坚持便民原则，加强与申请人的沟通，对于申请内容不明确的，依法指导其进行补正；对于非政府信息公开申请，做好解释说明并引导至正确渠道。全年收到的政府信息公开申请均按时规范办结，有效保障了公民、法人和其他组织的合法权益。 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before="0" w:after="0" w:line="560" w:lineRule="exact"/>
        <w:ind w:right="108" w:firstLineChars="200" w:firstLine="616"/>
        <w:jc w:val="left"/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</w:pPr>
      <w:r>
        <w:rPr>
          <w:rFonts w:ascii="方正楷体_GBK" w:eastAsia="方正楷体_GBK" w:cs="Microsoft YaHei UI" w:hint="eastAsia"/>
          <w:b/>
          <w:spacing w:val="-6"/>
          <w:sz w:val="32"/>
          <w:szCs w:val="32"/>
          <w:shd w:val="clear" w:color="auto" w:fill="auto"/>
          <w:lang w:val="en-US" w:eastAsia="zh-CN"/>
        </w:rPr>
        <w:t>（三）完善管理体系，夯实信息公开基础。</w:t>
      </w: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before="0" w:after="0" w:line="560" w:lineRule="exact"/>
        <w:ind w:right="108" w:firstLineChars="200" w:firstLine="616"/>
        <w:jc w:val="left"/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</w:pP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 xml:space="preserve">严格落实政府信息公开审查机制，坚持“先审查、后公开”和“谁公开、谁负责”原则，对所有拟公开信息进行审查和内容审核，确保公开信息的准确性、权威性和安全性。动态更新和优化本关主动公开内容，确保法定公开内容完整、分类清晰、便于查询。加强政府信息全生命周期管理，定期对发布的信息进行清理核查，及时废止、更新已失效信息，保障信息资源的时效性和有效性。 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before="0" w:after="0" w:line="560" w:lineRule="exact"/>
        <w:ind w:right="108" w:firstLineChars="200" w:firstLine="616"/>
        <w:jc w:val="left"/>
        <w:rPr>
          <w:rFonts w:ascii="方正楷体_GBK" w:eastAsia="方正楷体_GBK" w:cs="Microsoft YaHei UI" w:hint="eastAsia"/>
          <w:b/>
          <w:spacing w:val="-6"/>
          <w:sz w:val="32"/>
          <w:szCs w:val="32"/>
          <w:shd w:val="clear" w:color="auto" w:fill="auto"/>
        </w:rPr>
      </w:pPr>
      <w:r>
        <w:rPr>
          <w:rFonts w:ascii="方正楷体_GBK" w:eastAsia="方正楷体_GBK" w:cs="Microsoft YaHei UI" w:hint="eastAsia"/>
          <w:b/>
          <w:spacing w:val="-6"/>
          <w:sz w:val="32"/>
          <w:szCs w:val="32"/>
          <w:shd w:val="clear" w:color="auto" w:fill="auto"/>
        </w:rPr>
        <w:t>（四）拓展平台功能，优化信息公开渠道。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before="0" w:after="0" w:line="560" w:lineRule="exact"/>
        <w:ind w:right="108" w:firstLineChars="200" w:firstLine="616"/>
        <w:jc w:val="left"/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</w:pP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 xml:space="preserve">做好天津海关12360热线微信公众号等政务新媒体运营，及时发布权威信息和政策解读，积极回应社会关切。在业务现场如报关大厅、查验场地等，通过电子信息屏、公告栏、宣传册等传统形式，提供精准、便捷的信息服务，满足不同群体的信息获取需求。推动线上线下融合，不断提升信息公开的覆盖面、渗透力和便捷度。 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line="560" w:lineRule="exact"/>
        <w:ind w:right="108" w:firstLineChars="200" w:firstLine="616"/>
        <w:jc w:val="left"/>
        <w:rPr>
          <w:rFonts w:ascii="方正楷体_GBK" w:eastAsia="方正楷体_GBK" w:cs="Microsoft YaHei UI" w:hint="eastAsia"/>
          <w:b/>
          <w:spacing w:val="-6"/>
          <w:sz w:val="32"/>
          <w:szCs w:val="32"/>
          <w:shd w:val="clear" w:color="auto" w:fill="auto"/>
        </w:rPr>
      </w:pPr>
      <w:r>
        <w:rPr>
          <w:rFonts w:ascii="方正楷体_GBK" w:eastAsia="方正楷体_GBK" w:cs="Microsoft YaHei UI" w:hint="eastAsia"/>
          <w:b/>
          <w:spacing w:val="-6"/>
          <w:sz w:val="32"/>
          <w:szCs w:val="32"/>
          <w:shd w:val="clear" w:color="auto" w:fill="auto"/>
          <w:lang w:val="en-US" w:eastAsia="zh-CN"/>
        </w:rPr>
        <w:t>（五）强化监督保障，健全长效工作机制。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line="560" w:lineRule="exact"/>
        <w:ind w:right="108" w:firstLineChars="200" w:firstLine="616"/>
        <w:jc w:val="left"/>
        <w:rPr>
          <w:rFonts w:ascii="Times New Roman" w:eastAsia="方正仿宋_GBK" w:cs="Microsoft YaHei UI" w:hAnsi="Times New Roman"/>
          <w:spacing w:val="-6"/>
          <w:sz w:val="32"/>
          <w:szCs w:val="32"/>
          <w:shd w:val="clear" w:color="auto" w:fill="auto"/>
          <w:lang w:val="en-US" w:eastAsia="zh-CN"/>
        </w:rPr>
      </w:pP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 xml:space="preserve"> 主动接受社会监督，及时接听向外界公开的咨询服务电话，</w:t>
      </w:r>
      <w:r>
        <w:rPr>
          <w:rFonts w:ascii="Times New Roman" w:eastAsia="方正仿宋_GBK" w:cs="Microsoft YaHei UI" w:hAnsi="Times New Roman"/>
          <w:spacing w:val="-6"/>
          <w:sz w:val="32"/>
          <w:szCs w:val="32"/>
          <w:shd w:val="clear" w:color="auto" w:fill="auto"/>
          <w:lang w:val="en-US" w:eastAsia="zh-CN"/>
        </w:rPr>
        <w:t>专人专岗接听、记录和流转，对每一通来电按照流程登记、核实和反馈，形成闭环管理机制，</w:t>
      </w: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>确保</w:t>
      </w:r>
      <w:r>
        <w:rPr>
          <w:rFonts w:ascii="Times New Roman" w:eastAsia="方正仿宋_GBK" w:cs="Microsoft YaHei UI" w:hAnsi="Times New Roman"/>
          <w:spacing w:val="-6"/>
          <w:sz w:val="32"/>
          <w:szCs w:val="32"/>
          <w:shd w:val="clear" w:color="auto" w:fill="auto"/>
          <w:lang w:val="en-US" w:eastAsia="zh-CN"/>
        </w:rPr>
        <w:t>将群众和企业的需求</w:t>
      </w:r>
      <w:r>
        <w:rPr>
          <w:rFonts w:ascii="Times New Roman" w:eastAsia="方正仿宋_GBK" w:cs="Microsoft YaHei UI" w:hAnsi="Times New Roman" w:hint="eastAsia"/>
          <w:spacing w:val="-6"/>
          <w:sz w:val="32"/>
          <w:szCs w:val="32"/>
          <w:shd w:val="clear" w:color="auto" w:fill="auto"/>
          <w:lang w:val="en-US" w:eastAsia="zh-CN"/>
        </w:rPr>
        <w:t xml:space="preserve">落到实处。 </w:t>
      </w:r>
    </w:p>
    <w:p>
      <w:pPr>
        <w:pStyle w:val="30"/>
        <w:adjustRightInd w:val="0"/>
        <w:snapToGrid w:val="0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rFonts w:ascii="宋体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rFonts w:ascii="宋体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1536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7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adjustRightInd w:val="0"/>
              <w:snapToGrid w:val="0"/>
              <w:spacing w:line="560" w:lineRule="exact"/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849"/>
        <w:gridCol w:w="456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48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59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申请人情况</w:t>
            </w:r>
          </w:p>
        </w:tc>
      </w:tr>
      <w:tr>
        <w:trPr>
          <w:tblHeader/>
        </w:trPr>
        <w:tc>
          <w:tcPr>
            <w:tcW w:w="448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4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48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45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4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</w:tcPr>
          <w:p>
            <w:pPr>
              <w:pStyle w:val="31"/>
              <w:widowControl/>
              <w:spacing w:line="56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</w:tr>
      <w:tr>
        <w:tc>
          <w:tcPr>
            <w:tcW w:w="44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</w:tcPr>
          <w:p>
            <w:pPr>
              <w:pStyle w:val="31"/>
              <w:widowControl/>
              <w:spacing w:line="56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7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7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cantSplit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</w:tcPr>
          <w:p>
            <w:pPr>
              <w:pStyle w:val="31"/>
              <w:widowControl/>
              <w:spacing w:line="560" w:lineRule="exact"/>
              <w:rPr>
                <w:rFonts w:ascii="宋体" w:cs="楷体" w:hint="eastAsia"/>
                <w:kern w:val="0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31"/>
              <w:widowControl/>
              <w:spacing w:line="560" w:lineRule="exact"/>
              <w:rPr>
                <w:rFonts w:ascii="宋体" w:cs="楷体" w:hint="eastAsia"/>
                <w:kern w:val="0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31"/>
              <w:widowControl/>
              <w:spacing w:line="560" w:lineRule="exact"/>
              <w:rPr>
                <w:rFonts w:ascii="宋体" w:cs="楷体" w:hint="eastAsia"/>
                <w:kern w:val="0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2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31"/>
              <w:widowControl/>
              <w:spacing w:line="560" w:lineRule="exact"/>
              <w:rPr>
                <w:rFonts w:ascii="宋体" w:cs="楷体" w:hint="eastAsia"/>
                <w:kern w:val="0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7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16</w:t>
            </w:r>
          </w:p>
        </w:tc>
      </w:tr>
      <w:tr>
        <w:tc>
          <w:tcPr>
            <w:tcW w:w="44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</w:tr>
    </w:tbl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宋体" w:cs="宋体" w:hint="eastAsia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1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38"/>
        <w:adjustRightInd w:val="0"/>
        <w:snapToGrid w:val="0"/>
        <w:ind w:firstLineChars="200" w:firstLine="624"/>
        <w:rPr>
          <w:rFonts w:ascii="方正楷体_GBK" w:eastAsia="方正楷体_GBK" w:hint="eastAsia"/>
          <w:b/>
          <w:bCs/>
        </w:rPr>
      </w:pPr>
      <w:r>
        <w:rPr>
          <w:rFonts w:eastAsia="方正楷体_GBK" w:hint="eastAsia"/>
          <w:b/>
          <w:bCs/>
        </w:rPr>
        <w:t>（一）202</w:t>
      </w:r>
      <w:r>
        <w:rPr>
          <w:rFonts w:eastAsia="方正楷体_GBK"/>
          <w:b/>
          <w:bCs/>
        </w:rPr>
        <w:t>4</w:t>
      </w:r>
      <w:r>
        <w:rPr>
          <w:rFonts w:eastAsia="方正楷体_GBK" w:hint="eastAsia"/>
          <w:b/>
          <w:bCs/>
        </w:rPr>
        <w:t>年年</w:t>
      </w:r>
      <w:r>
        <w:rPr>
          <w:rFonts w:ascii="方正楷体_GBK" w:eastAsia="方正楷体_GBK" w:hint="eastAsia"/>
          <w:b/>
          <w:bCs/>
        </w:rPr>
        <w:t>报中所提问题整改情况。</w:t>
      </w:r>
    </w:p>
    <w:p>
      <w:pPr>
        <w:pStyle w:val="38"/>
        <w:adjustRightInd w:val="0"/>
        <w:snapToGrid w:val="0"/>
        <w:ind w:firstLineChars="200" w:firstLine="624"/>
      </w:pPr>
      <w:r>
        <w:rPr>
          <w:rFonts w:hint="eastAsia"/>
        </w:rPr>
        <w:t>天津新港海关202</w:t>
      </w:r>
      <w:r>
        <w:t>4</w:t>
      </w:r>
      <w:r>
        <w:rPr>
          <w:rFonts w:hint="eastAsia"/>
        </w:rPr>
        <w:t>年政府信息公开年度工作报告中指出，新港海关</w:t>
      </w:r>
      <w:r>
        <w:t>管理层级多、管理流程复杂，依申请公开的信息流转较其他隶属海关多一个层级，政府信息公开工作的部署下发、办理反馈都用时较长，部分处室办理人员对依申请公开工作接触较少，对政府信息公开工作原则理解不够深刻，在办理过程中与申请人沟通欠佳，为公众提供信息不够高效便捷</w:t>
      </w:r>
      <w:r>
        <w:rPr>
          <w:rFonts w:hint="eastAsia"/>
        </w:rPr>
        <w:t>。202</w:t>
      </w:r>
      <w:r>
        <w:t>5</w:t>
      </w:r>
      <w:r>
        <w:rPr>
          <w:rFonts w:hint="eastAsia"/>
        </w:rPr>
        <w:t>年，新港海关</w:t>
      </w:r>
      <w:r>
        <w:t>在收到申请人的申请后，实行快速响应机制，直接与主办部门沟通，沟通好办理方法，缩减各个环节办理流程的用时，对于依申请公开的办理人员开展业务培训，通过</w:t>
      </w:r>
      <w:r>
        <w:rPr>
          <w:rFonts w:hint="eastAsia"/>
        </w:rPr>
        <w:t>“</w:t>
      </w:r>
      <w:r>
        <w:t>老带新</w:t>
      </w:r>
      <w:r>
        <w:rPr>
          <w:rFonts w:hint="eastAsia"/>
        </w:rPr>
        <w:t>”</w:t>
      </w:r>
      <w:r>
        <w:t>的方式一对一指导，帮助熟悉办理流程，推进公众获取信息更加高效快捷。</w:t>
      </w:r>
    </w:p>
    <w:p>
      <w:pPr>
        <w:pStyle w:val="39"/>
        <w:adjustRightInd w:val="0"/>
        <w:snapToGrid w:val="0"/>
        <w:ind w:firstLineChars="200" w:firstLine="624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>
      <w:pPr>
        <w:pStyle w:val="42"/>
        <w:adjustRightInd w:val="0"/>
        <w:snapToGrid w:val="0"/>
        <w:ind w:firstLineChars="200" w:firstLine="624"/>
      </w:pPr>
      <w:r>
        <w:t>新港海关在发挥政务公开作用方面距离</w:t>
      </w:r>
      <w:r>
        <w:rPr>
          <w:rFonts w:hint="eastAsia"/>
        </w:rPr>
        <w:t>“</w:t>
      </w:r>
      <w:r>
        <w:t>以公开促落实、促规范、促服务</w:t>
      </w:r>
      <w:r>
        <w:rPr>
          <w:rFonts w:hint="eastAsia"/>
        </w:rPr>
        <w:t>”</w:t>
      </w:r>
      <w:r>
        <w:t>的目标仍存在差距，政务公开主要依托网站和公告栏，属于单项信息输送，对于信息发布后的社会反响、企业疑问、落地难题，缺乏主动性、系统性的收集和反馈渠道。</w:t>
      </w:r>
    </w:p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</w:p>
    <w:p>
      <w:pPr>
        <w:pStyle w:val="22"/>
        <w:tabs>
          <w:tab w:val="center" w:pos="4153"/>
          <w:tab w:val="right" w:pos="8306"/>
        </w:tabs>
        <w:spacing w:line="560" w:lineRule="exact"/>
        <w:ind w:firstLineChars="200" w:firstLine="624"/>
        <w:rPr>
          <w:rFonts w:hint="eastAsia"/>
          <w:spacing w:val="-4"/>
          <w:sz w:val="32"/>
          <w:szCs w:val="20"/>
        </w:rPr>
      </w:pPr>
      <w:r>
        <w:rPr>
          <w:rFonts w:hint="eastAsia"/>
          <w:spacing w:val="-4"/>
          <w:sz w:val="32"/>
          <w:szCs w:val="20"/>
        </w:rPr>
        <w:t>无。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 w:val="0"/>
        <w:spacing w:line="560" w:lineRule="exact"/>
        <w:ind w:right="108" w:firstLineChars="200" w:firstLine="616"/>
        <w:jc w:val="left"/>
        <w:rPr>
          <w:rFonts w:ascii="Times New Roman" w:eastAsia="方正仿宋_GBK" w:hAnsi="Times New Roman"/>
          <w:spacing w:val="-6"/>
          <w:sz w:val="32"/>
          <w:szCs w:val="32"/>
          <w:shd w:val="clear" w:color="auto" w:fill="auto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Microsoft YaHei UI">
    <w:altName w:val="方正黑体_GBK"/>
    <w:panose1 w:val="020B0503020204020204"/>
    <w:charset w:val="86"/>
    <w:family w:val="auto"/>
    <w:pitch w:val="variable"/>
    <w:sig w:usb0="00000000" w:usb1="00000000" w:usb2="00000016" w:usb3="00000000" w:csb0="0004001F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00000000" w:usb1="00000000" w:usb2="00080016" w:usb3="00000000" w:csb0="00040001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8"/>
    <w:multiLevelType w:val="singleLevel"/>
    <w:tmpl w:val="0FFFFF88"/>
    <w:lvl w:ilvl="0">
      <w:start w:val="1"/>
      <w:numFmt w:val="decimal"/>
      <w:lvlRestart w:val="0"/>
      <w:pStyle w:val="1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FFFF7E"/>
    <w:multiLevelType w:val="singleLevel"/>
    <w:tmpl w:val="0FFFFF7E"/>
    <w:lvl w:ilvl="0">
      <w:start w:val="1"/>
      <w:numFmt w:val="decimal"/>
      <w:lvlRestart w:val="0"/>
      <w:pStyle w:val="19"/>
      <w:lvlText w:val="%1."/>
      <w:lvlJc w:val="left"/>
      <w:pPr>
        <w:tabs>
          <w:tab w:val="num" w:pos="1200"/>
        </w:tabs>
        <w:ind w:left="12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8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8"/>
    <w:basedOn w:val="0"/>
    <w:autoRedefine/>
    <w:next w:val="0"/>
    <w:pPr>
      <w:ind w:left="2940"/>
    </w:pPr>
  </w:style>
  <w:style w:type="paragraph" w:styleId="16">
    <w:name w:val="List Number"/>
    <w:basedOn w:val="0"/>
    <w:pPr>
      <w:numPr>
        <w:ilvl w:val="0"/>
        <w:numId w:val="1"/>
      </w:numPr>
    </w:pPr>
  </w:style>
  <w:style w:type="paragraph" w:styleId="17">
    <w:name w:val="annotation text"/>
    <w:basedOn w:val="0"/>
    <w:pPr>
      <w:jc w:val="left"/>
    </w:pPr>
  </w:style>
  <w:style w:type="paragraph" w:styleId="18">
    <w:name w:val="Body Text Indent"/>
    <w:basedOn w:val="0"/>
    <w:pPr>
      <w:spacing w:after="120"/>
      <w:ind w:left="420"/>
    </w:pPr>
  </w:style>
  <w:style w:type="paragraph" w:styleId="19">
    <w:name w:val="List Number 3"/>
    <w:basedOn w:val="0"/>
    <w:pPr>
      <w:numPr>
        <w:ilvl w:val="0"/>
        <w:numId w:val="2"/>
      </w:numPr>
    </w:pPr>
  </w:style>
  <w:style w:type="paragraph" w:styleId="20">
    <w:name w:val="toc 5"/>
    <w:basedOn w:val="0"/>
    <w:autoRedefine/>
    <w:next w:val="0"/>
    <w:pPr>
      <w:ind w:left="1680"/>
    </w:pPr>
  </w:style>
  <w:style w:type="paragraph" w:styleId="21">
    <w:name w:val="List Continue 5"/>
    <w:basedOn w:val="0"/>
    <w:pPr>
      <w:spacing w:after="120"/>
      <w:ind w:left="2100"/>
    </w:pPr>
  </w:style>
  <w:style w:type="paragraph" w:styleId="22">
    <w:name w:val="footer"/>
    <w:basedOn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styleId="23">
    <w:name w:val="List Continue 4"/>
    <w:basedOn w:val="0"/>
    <w:pPr>
      <w:spacing w:after="120"/>
      <w:ind w:left="1680"/>
    </w:pPr>
  </w:style>
  <w:style w:type="paragraph" w:styleId="24">
    <w:name w:val="List"/>
    <w:basedOn w:val="0"/>
    <w:pPr>
      <w:ind w:left="420" w:hanging="420"/>
    </w:pPr>
  </w:style>
  <w:style w:type="paragraph" w:styleId="25">
    <w:name w:val="toc 6"/>
    <w:basedOn w:val="0"/>
    <w:autoRedefine/>
    <w:next w:val="0"/>
    <w:pPr>
      <w:ind w:left="2100"/>
    </w:pPr>
  </w:style>
  <w:style w:type="paragraph" w:styleId="26">
    <w:name w:val="Normal (Web)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styleId="27">
    <w:name w:val="Title"/>
    <w:basedOn w:val="0"/>
    <w:pPr>
      <w:spacing w:before="240" w:after="60"/>
      <w:jc w:val="center"/>
      <w:outlineLvl w:val="0"/>
    </w:pPr>
    <w:rPr>
      <w:rFonts w:ascii="方正兰亭黑_GBK" w:hAnsi="方正兰亭黑_GBK"/>
      <w:b/>
      <w:bCs/>
      <w:sz w:val="32"/>
      <w:szCs w:val="32"/>
    </w:rPr>
  </w:style>
  <w:style w:type="paragraph" w:styleId="28">
    <w:name w:val="annotation subject"/>
    <w:basedOn w:val="17"/>
    <w:next w:val="17"/>
    <w:rPr>
      <w:b/>
    </w:rPr>
  </w:style>
  <w:style w:type="paragraph" w:customStyle="1" w:styleId="2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0">
    <w:name w:val="样式 5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1">
    <w:name w:val="样式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3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9">
    <w:name w:val="样式 1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0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1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2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3">
    <w:name w:val="样式 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4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9">
    <w:name w:val="样式 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</Application>
  <Pages>1</Pages>
  <Words>90</Words>
  <Characters>90</Characters>
  <Lines>73</Lines>
  <Paragraphs>34</Paragraphs>
  <CharactersWithSpaces>90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于桂敏Alex</dc:creator>
  <cp:lastModifiedBy>苗鑫</cp:lastModifiedBy>
  <cp:revision>0</cp:revision>
  <dcterms:created xsi:type="dcterms:W3CDTF">2026-01-14T12:41:00Z</dcterms:created>
  <dcterms:modified xsi:type="dcterms:W3CDTF">2026-01-30T01:07:03Z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eyJoZGlkIjoiYzk2MDI5ZjA4MzQ4ZDQ0MTE4ZTQ3YzhlOTc1MDMyMGEifQ==</vt:lpwstr>
  </property>
  <property fmtid="{D5CDD505-2E9C-101B-9397-08002B2CF9AE}" pid="4" name="ICV">
    <vt:lpwstr>1AD874B56D52450E8BD5922992C2565E_13</vt:lpwstr>
  </property>
</Properties>
</file>