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in" ContentType="application/vnd.openxmlformats-officedocument.oleObject"/>
  <Override PartName="/word/settings.xml" ContentType="application/vnd.openxmlformats-officedocument.wordprocessingml.settings+xml"/>
  <Override PartName="/word/footer1.xml" ContentType="application/vnd.openxmlformats-officedocument.wordprocessingml.footer+xml"/>
  <Override PartName="/word/footer2.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ody>
    <w:p>
      <w:pPr>
        <w:spacing w:line="594" w:lineRule="exact"/>
        <w:jc w:val="left"/>
        <w:rPr>
          <w:rFonts w:ascii="方正黑体简体" w:eastAsia="方正黑体简体" w:hint="eastAsia"/>
          <w:sz w:val="32"/>
          <w:szCs w:val="32"/>
        </w:rPr>
      </w:pPr>
      <w:r>
        <w:rPr>
          <w:rFonts w:ascii="方正黑体简体" w:eastAsia="方正黑体简体" w:hint="eastAsia"/>
          <w:sz w:val="32"/>
          <w:szCs w:val="32"/>
        </w:rPr>
        <w:t>附件</w:t>
      </w:r>
    </w:p>
    <w:p>
      <w:pPr>
        <w:spacing w:line="594" w:lineRule="exact"/>
        <w:jc w:val="center"/>
        <w:rPr>
          <w:rFonts w:ascii="方正小标宋简体" w:eastAsia="方正小标宋简体" w:hint="eastAsia"/>
          <w:sz w:val="36"/>
          <w:szCs w:val="36"/>
        </w:rPr>
      </w:pPr>
    </w:p>
    <w:p>
      <w:pPr>
        <w:spacing w:line="594" w:lineRule="exact"/>
        <w:jc w:val="center"/>
        <w:rPr>
          <w:rFonts w:ascii="方正小标宋简体" w:eastAsia="方正小标宋简体" w:hint="eastAsia"/>
          <w:sz w:val="44"/>
          <w:szCs w:val="44"/>
        </w:rPr>
      </w:pPr>
      <w:r>
        <w:rPr>
          <w:rFonts w:ascii="方正小标宋简体" w:eastAsia="方正小标宋简体" w:hint="eastAsia"/>
          <w:sz w:val="44"/>
          <w:szCs w:val="44"/>
        </w:rPr>
        <w:t>进口苏丹共和国苜蓿草检验检疫要求</w:t>
      </w:r>
    </w:p>
    <w:p>
      <w:pPr>
        <w:spacing w:line="594" w:lineRule="exact"/>
        <w:ind w:firstLine="640"/>
        <w:rPr>
          <w:rFonts w:ascii="方正仿宋简体" w:eastAsia="方正仿宋简体" w:hint="eastAsia"/>
          <w:sz w:val="32"/>
          <w:szCs w:val="32"/>
        </w:rPr>
      </w:pP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一、法律法规依据</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《中华人民共和国进出境动植物检疫法》及其实施条例、《进出口饲料和饲料添加剂检验检疫监督管理办法》《中华人民共和国</w:t>
      </w:r>
      <w:r>
        <w:rPr>
          <w:rFonts w:ascii="方正仿宋简体" w:eastAsia="方正仿宋简体"/>
          <w:sz w:val="32"/>
          <w:szCs w:val="32"/>
        </w:rPr>
        <w:t>国</w:t>
      </w:r>
      <w:bookmarkStart w:id="0" w:name="_GoBack"/>
      <w:bookmarkEnd w:id="0"/>
      <w:r>
        <w:rPr>
          <w:rFonts w:ascii="方正仿宋简体" w:eastAsia="方正仿宋简体"/>
          <w:sz w:val="32"/>
          <w:szCs w:val="32"/>
        </w:rPr>
        <w:t>家</w:t>
      </w:r>
      <w:r>
        <w:rPr>
          <w:rFonts w:ascii="方正仿宋简体" w:eastAsia="方正仿宋简体" w:hint="eastAsia"/>
          <w:sz w:val="32"/>
          <w:szCs w:val="32"/>
        </w:rPr>
        <w:t>质量监督检验检疫总局与苏丹共和国农业与林业部关于苏丹苜蓿草输华卫生与植物卫生条件的议定书》。</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二、允许进境商品名称</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苜蓿草（</w:t>
      </w:r>
      <w:r>
        <w:rPr>
          <w:rFonts w:ascii="方正仿宋简体" w:eastAsia="方正仿宋简体" w:hint="eastAsia"/>
          <w:i/>
          <w:sz w:val="32"/>
          <w:szCs w:val="32"/>
        </w:rPr>
        <w:t>Medicago sativa</w:t>
      </w:r>
      <w:r>
        <w:rPr>
          <w:rFonts w:ascii="方正仿宋简体" w:eastAsia="方正仿宋简体"/>
          <w:sz w:val="32"/>
          <w:szCs w:val="32"/>
        </w:rPr>
        <w:t xml:space="preserve"> L.</w:t>
      </w:r>
      <w:r>
        <w:rPr>
          <w:rFonts w:ascii="方正仿宋简体" w:eastAsia="方正仿宋简体" w:hint="eastAsia"/>
          <w:sz w:val="32"/>
          <w:szCs w:val="32"/>
        </w:rPr>
        <w:t>），是指在苏丹共和国生产、经二次压缩的苜蓿草捆。</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三、加工厂的批准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苜蓿草必须来自苏丹共和国农业与林业部（以下简称SMOAF）考核批准的加工厂。加工厂由</w:t>
      </w:r>
      <w:r>
        <w:rPr>
          <w:rFonts w:ascii="方正仿宋简体" w:eastAsia="方正仿宋简体" w:cs="Arial" w:hint="eastAsia"/>
          <w:kern w:val="0"/>
          <w:sz w:val="32"/>
          <w:szCs w:val="32"/>
        </w:rPr>
        <w:t>SMOAF</w:t>
      </w:r>
      <w:r>
        <w:rPr>
          <w:rFonts w:ascii="方正仿宋简体" w:eastAsia="方正仿宋简体" w:hint="eastAsia"/>
          <w:sz w:val="32"/>
          <w:szCs w:val="32"/>
        </w:rPr>
        <w:t>向质检总局推荐并获得注册登记后才允许向中国出口。获准注册的加工厂名单可在质检总局动植司网站查询。</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四、检疫性有害生物和转基因要求</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苜蓿草不得带有中方关注的检疫性有害生物（见附1）和未经中国官方批准的转基因成分。</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五、产品加工和出口要求</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（一）种植采收。</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1. 苜蓿草原料种植、晾晒及储存场所应与动物饲养场、牧场等隔离，确保没有被有蹄类动物的排泄物、分泌物及其他物污染。在苜蓿草收割、晾晒及储运期间，应避免混杂根、籽粒、土壤及其他植物残体。</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2. 苜蓿草种植农场应在生长和收获期对有害生物实施有效的监测和防治措施，以避免和控制附1所列中方关注的检疫性有害生物的发生。</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（二）加工储藏。</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1. 苜蓿草加工厂应建立有效的卫生管理体系，保持加工区及设备清洁，在压缩打捆包前采取有效的去杂、去污措施，不得采用金属材质材料打捆包装，确保苜蓿草符合以下要求：</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－不带有附1所列中方关注的检疫性有害生物；</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－不带有活的有害生物；</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－不带有饲草根、籽粒以及其他植物残体；</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－不带有动物粪便、动物尸体、禽类羽毛；</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－不带有土壤、塑料膜、石块、金属片等异物。</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2. 苜蓿草装运前应存放在具有以下条件的储藏设施中：</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－具有相对独立空间；</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－采取防护措施，防止有害生物二次污染；</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－采取防鸟措施，防止羽毛、鸟尸、鸟粪污染；</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－采取防鼠措施，防止鼠类污染。</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3. 应使用干净卫生的集装箱装运输华苜蓿草，必要时应对集装箱进行清扫并彻底消毒。</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（三）离境前检疫和证书要求。</w:t>
      </w:r>
    </w:p>
    <w:p>
      <w:pPr>
        <w:spacing w:line="594" w:lineRule="exact"/>
        <w:ind w:firstLineChars="175" w:firstLine="588"/>
        <w:rPr>
          <w:rFonts w:ascii="方正仿宋简体" w:eastAsia="方正仿宋简体" w:cs="Arial" w:hint="eastAsia"/>
          <w:spacing w:val="8"/>
          <w:sz w:val="32"/>
          <w:szCs w:val="32"/>
        </w:rPr>
      </w:pPr>
      <w:r>
        <w:rPr>
          <w:rFonts w:ascii="方正仿宋简体" w:eastAsia="方正仿宋简体" w:hint="eastAsia"/>
          <w:spacing w:val="8"/>
          <w:sz w:val="32"/>
          <w:szCs w:val="32"/>
        </w:rPr>
        <w:t>1. 苜蓿草离境前，</w:t>
      </w:r>
      <w:r>
        <w:rPr>
          <w:rFonts w:ascii="方正仿宋简体" w:eastAsia="方正仿宋简体" w:cs="Arial" w:hint="eastAsia"/>
          <w:spacing w:val="8"/>
          <w:kern w:val="0"/>
          <w:sz w:val="32"/>
          <w:szCs w:val="32"/>
        </w:rPr>
        <w:t>SMOAF</w:t>
      </w:r>
      <w:r>
        <w:rPr>
          <w:rFonts w:ascii="方正仿宋简体" w:eastAsia="方正仿宋简体" w:hint="eastAsia"/>
          <w:spacing w:val="8"/>
          <w:sz w:val="32"/>
          <w:szCs w:val="32"/>
        </w:rPr>
        <w:t>应按照双边议定书要求对苜蓿草进行现场检疫。</w:t>
      </w:r>
      <w:r>
        <w:rPr>
          <w:rFonts w:ascii="方正仿宋简体" w:eastAsia="方正仿宋简体" w:cs="Arial" w:hint="eastAsia"/>
          <w:spacing w:val="8"/>
          <w:sz w:val="32"/>
          <w:szCs w:val="32"/>
        </w:rPr>
        <w:t>如经检疫发现活的有害生物，该批苜蓿草应不准输往中国。</w:t>
      </w:r>
      <w:r>
        <w:rPr>
          <w:rFonts w:ascii="方正仿宋简体" w:eastAsia="方正仿宋简体" w:cs="Arial"/>
          <w:spacing w:val="8"/>
          <w:kern w:val="0"/>
          <w:sz w:val="32"/>
          <w:szCs w:val="32"/>
        </w:rPr>
        <w:t>SMOAF</w:t>
      </w:r>
      <w:r>
        <w:rPr>
          <w:rFonts w:ascii="方正仿宋简体" w:eastAsia="方正仿宋简体" w:cs="Arial" w:hint="eastAsia"/>
          <w:spacing w:val="8"/>
          <w:sz w:val="32"/>
          <w:szCs w:val="32"/>
        </w:rPr>
        <w:t>只允许经检疫合格或经熏蒸处理合格的苜蓿草向中国出口。</w:t>
      </w:r>
      <w:r>
        <w:rPr>
          <w:rFonts w:ascii="方正仿宋简体" w:eastAsia="方正仿宋简体" w:cs="Arial"/>
          <w:spacing w:val="8"/>
          <w:kern w:val="0"/>
          <w:sz w:val="32"/>
          <w:szCs w:val="32"/>
        </w:rPr>
        <w:t>SMOAF</w:t>
      </w:r>
      <w:r>
        <w:rPr>
          <w:rFonts w:ascii="方正仿宋简体" w:eastAsia="方正仿宋简体" w:cs="Arial" w:hint="eastAsia"/>
          <w:spacing w:val="8"/>
          <w:sz w:val="32"/>
          <w:szCs w:val="32"/>
        </w:rPr>
        <w:t>采用的熏蒸处理技术指标须经质检总局确认。</w:t>
      </w:r>
    </w:p>
    <w:p>
      <w:pPr>
        <w:spacing w:line="594" w:lineRule="exact"/>
        <w:ind w:firstLineChars="200" w:firstLine="632"/>
        <w:rPr>
          <w:rFonts w:ascii="方正仿宋简体" w:eastAsia="方正仿宋简体" w:hint="eastAsia"/>
          <w:sz w:val="32"/>
          <w:szCs w:val="32"/>
        </w:rPr>
      </w:pPr>
      <w:r>
        <w:rPr>
          <w:rFonts w:ascii="方正仿宋简体" w:eastAsia="方正仿宋简体" w:hint="eastAsia"/>
          <w:spacing w:val="-2"/>
          <w:sz w:val="32"/>
          <w:szCs w:val="32"/>
        </w:rPr>
        <w:t>2. 经检验检疫合格的，</w:t>
      </w:r>
      <w:r>
        <w:rPr>
          <w:rFonts w:ascii="方正仿宋简体" w:eastAsia="方正仿宋简体" w:cs="Arial" w:hint="eastAsia"/>
          <w:kern w:val="0"/>
          <w:sz w:val="32"/>
          <w:szCs w:val="32"/>
        </w:rPr>
        <w:t>SMOAF</w:t>
      </w:r>
      <w:r>
        <w:rPr>
          <w:rFonts w:ascii="方正仿宋简体" w:eastAsia="方正仿宋简体" w:hint="eastAsia"/>
          <w:spacing w:val="-2"/>
          <w:sz w:val="32"/>
          <w:szCs w:val="32"/>
        </w:rPr>
        <w:t>应出具官方植物检疫证书，</w:t>
      </w:r>
      <w:r>
        <w:rPr>
          <w:rFonts w:ascii="方正仿宋简体" w:eastAsia="方正仿宋简体" w:hint="eastAsia"/>
          <w:sz w:val="32"/>
          <w:szCs w:val="32"/>
        </w:rPr>
        <w:t>证书样本见附2。</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（四）标识要求。</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每批货物的每个集装箱内应至少有一个包装标志，注明加工厂名称和注册登记号码及“苏丹苜蓿草输往中华人民共和国”中文字样。</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六、进境检疫</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（一）证书核查。</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1. 核查进境苏丹苜蓿草是否附有《进境动植物检疫许可证》。</w:t>
      </w:r>
    </w:p>
    <w:p>
      <w:pPr>
        <w:spacing w:line="594" w:lineRule="exact"/>
        <w:ind w:firstLineChars="200" w:firstLine="640"/>
        <w:rPr>
          <w:rFonts w:ascii="方正仿宋简体" w:eastAsia="方正仿宋简体" w:hint="eastAsia"/>
          <w:color w:val="FF0000"/>
          <w:sz w:val="32"/>
          <w:szCs w:val="32"/>
        </w:rPr>
      </w:pPr>
      <w:r>
        <w:rPr>
          <w:rFonts w:ascii="方正仿宋简体" w:eastAsia="方正仿宋简体" w:hint="eastAsia"/>
          <w:sz w:val="32"/>
          <w:szCs w:val="32"/>
        </w:rPr>
        <w:t>2. 核查</w:t>
      </w:r>
      <w:r>
        <w:rPr>
          <w:rFonts w:ascii="方正仿宋简体" w:eastAsia="方正仿宋简体" w:cs="Arial" w:hint="eastAsia"/>
          <w:kern w:val="0"/>
          <w:sz w:val="32"/>
          <w:szCs w:val="32"/>
        </w:rPr>
        <w:t>SMOAF</w:t>
      </w:r>
      <w:r>
        <w:rPr>
          <w:rFonts w:ascii="方正仿宋简体" w:eastAsia="方正仿宋简体" w:hint="eastAsia"/>
          <w:sz w:val="32"/>
          <w:szCs w:val="32"/>
        </w:rPr>
        <w:t>出具的植物检疫证书是否与样本相符。</w:t>
      </w:r>
    </w:p>
    <w:p>
      <w:pPr>
        <w:spacing w:line="594" w:lineRule="exact"/>
        <w:ind w:firstLineChars="200" w:firstLine="640"/>
        <w:rPr>
          <w:rFonts w:ascii="方正楷体简体" w:eastAsia="方正楷体简体" w:hint="eastAsia"/>
          <w:b/>
          <w:sz w:val="32"/>
          <w:szCs w:val="32"/>
        </w:rPr>
      </w:pPr>
      <w:r>
        <w:rPr>
          <w:rFonts w:ascii="方正楷体简体" w:eastAsia="方正楷体简体" w:hint="eastAsia"/>
          <w:b/>
          <w:sz w:val="32"/>
          <w:szCs w:val="32"/>
        </w:rPr>
        <w:t>（二）货物检查。</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根据《检验检疫工作手册》植物检验检疫分册中《进境饲草检验检疫工作程序》的规定，结合本要求第五条和附1所列中方关注的检疫性有害生物名录，对进境苜蓿草实施检验检疫，必要时抽样送实验室进行检疫鉴定。</w:t>
      </w:r>
    </w:p>
    <w:p>
      <w:pPr>
        <w:spacing w:line="594" w:lineRule="exact"/>
        <w:ind w:firstLineChars="200" w:firstLine="640"/>
        <w:rPr>
          <w:rFonts w:ascii="方正黑体简体" w:eastAsia="方正黑体简体" w:hint="eastAsia"/>
          <w:sz w:val="32"/>
          <w:szCs w:val="32"/>
        </w:rPr>
      </w:pPr>
      <w:r>
        <w:rPr>
          <w:rFonts w:ascii="方正黑体简体" w:eastAsia="方正黑体简体" w:hint="eastAsia"/>
          <w:sz w:val="32"/>
          <w:szCs w:val="32"/>
        </w:rPr>
        <w:t>七、不符合情况处理</w:t>
      </w:r>
    </w:p>
    <w:p>
      <w:pPr>
        <w:spacing w:line="594" w:lineRule="exact"/>
        <w:ind w:firstLineChars="200" w:firstLine="640"/>
        <w:rPr>
          <w:rFonts w:ascii="方正仿宋简体" w:eastAsia="方正仿宋简体" w:hint="eastAsia"/>
          <w:sz w:val="32"/>
          <w:szCs w:val="32"/>
        </w:rPr>
      </w:pPr>
      <w:r>
        <w:rPr>
          <w:rFonts w:ascii="方正仿宋简体" w:eastAsia="方正仿宋简体" w:cs="Arial" w:hint="eastAsia"/>
          <w:sz w:val="32"/>
          <w:szCs w:val="32"/>
        </w:rPr>
        <w:t>进口苜蓿草</w:t>
      </w:r>
      <w:r>
        <w:rPr>
          <w:rFonts w:ascii="方正仿宋简体" w:eastAsia="方正仿宋简体" w:hint="eastAsia"/>
          <w:sz w:val="32"/>
          <w:szCs w:val="32"/>
        </w:rPr>
        <w:t>发生以下不符合情况时，按以下规定处理：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（一）无有效的植物检疫证书，无标志或标志内容不符合要求的，作退回或销毁处理；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（二）发现中方关注的检疫性有害生物，作除害处理或退回或销毁处理；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（三）发现其他活的有害生物，作除害处理；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（四）发现土壤或未经中国批准的转基因成分，作退回或销毁处理；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（五）发现动物粪便、动物尸体、禽类羽毛、饲草根、籽粒以及其他中方关注的检疫性植物残体、金属材料等或不符合中国饲料相关安全卫生标准，作除害处理、退回或销毁处理。</w:t>
      </w: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若发现足够严重的违规情况，质检总局将告知</w:t>
      </w:r>
      <w:r>
        <w:rPr>
          <w:rFonts w:ascii="方正仿宋简体" w:eastAsia="方正仿宋简体" w:cs="Arial" w:hint="eastAsia"/>
          <w:kern w:val="0"/>
          <w:sz w:val="32"/>
          <w:szCs w:val="32"/>
        </w:rPr>
        <w:t>SMOAF</w:t>
      </w:r>
      <w:r>
        <w:rPr>
          <w:rFonts w:ascii="方正仿宋简体" w:eastAsia="方正仿宋简体" w:hint="eastAsia"/>
          <w:sz w:val="32"/>
          <w:szCs w:val="32"/>
        </w:rPr>
        <w:t>，并根据严重程度采取暂停相关加工厂或整个产品以作整改等追加措施。</w:t>
      </w:r>
    </w:p>
    <w:p>
      <w:pPr>
        <w:spacing w:line="594" w:lineRule="exact"/>
        <w:ind w:firstLineChars="200" w:firstLine="640"/>
        <w:rPr>
          <w:rFonts w:ascii="方正仿宋简体" w:eastAsia="方正仿宋简体" w:hint="eastAsia"/>
          <w:sz w:val="32"/>
          <w:szCs w:val="32"/>
        </w:rPr>
      </w:pPr>
    </w:p>
    <w:p>
      <w:pPr>
        <w:spacing w:line="594" w:lineRule="exact"/>
        <w:ind w:firstLineChars="200" w:firstLine="640"/>
        <w:rPr>
          <w:rFonts w:ascii="方正仿宋简体" w:eastAsia="方正仿宋简体" w:hint="eastAsia"/>
          <w:sz w:val="32"/>
          <w:szCs w:val="32"/>
        </w:rPr>
      </w:pPr>
      <w:r>
        <w:rPr>
          <w:rFonts w:ascii="方正仿宋简体" w:eastAsia="方正仿宋简体" w:hint="eastAsia"/>
          <w:sz w:val="32"/>
          <w:szCs w:val="32"/>
        </w:rPr>
        <w:t>附：1. 中方关注的检疫性有害生物</w:t>
      </w:r>
    </w:p>
    <w:p>
      <w:pPr>
        <w:spacing w:line="594" w:lineRule="exact"/>
        <w:ind w:firstLineChars="412" w:firstLine="1318"/>
        <w:rPr>
          <w:rFonts w:ascii="方正仿宋简体" w:eastAsia="方正仿宋简体" w:hint="eastAsia"/>
          <w:sz w:val="32"/>
          <w:szCs w:val="32"/>
        </w:rPr>
      </w:pPr>
      <w:r>
        <w:rPr>
          <w:rFonts w:ascii="方正仿宋简体" w:eastAsia="方正仿宋简体" w:hint="eastAsia"/>
          <w:sz w:val="32"/>
          <w:szCs w:val="32"/>
        </w:rPr>
        <w:t>2. 植物检疫证书样本</w:t>
      </w: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p>
    <w:p>
      <w:pPr>
        <w:spacing w:line="594" w:lineRule="exact"/>
        <w:rPr>
          <w:rFonts w:ascii="方正黑体简体" w:eastAsia="方正黑体简体" w:hint="eastAsia"/>
          <w:bCs/>
          <w:color w:val="000000"/>
          <w:sz w:val="32"/>
          <w:szCs w:val="32"/>
        </w:rPr>
      </w:pPr>
      <w:r>
        <w:rPr>
          <w:rFonts w:ascii="方正黑体简体" w:eastAsia="方正黑体简体" w:hint="eastAsia"/>
          <w:bCs/>
          <w:color w:val="000000"/>
          <w:sz w:val="32"/>
          <w:szCs w:val="32"/>
        </w:rPr>
        <w:t>附1</w:t>
      </w:r>
    </w:p>
    <w:p>
      <w:pPr>
        <w:autoSpaceDE w:val="0"/>
        <w:autoSpaceDN w:val="0"/>
        <w:spacing w:line="594" w:lineRule="exact"/>
        <w:jc w:val="center"/>
        <w:rPr>
          <w:rFonts w:ascii="方正小标宋简体" w:eastAsia="方正小标宋简体" w:cs="Arial" w:hint="eastAsia"/>
          <w:bCs/>
          <w:color w:val="000000"/>
          <w:sz w:val="44"/>
          <w:szCs w:val="44"/>
        </w:rPr>
      </w:pPr>
      <w:r>
        <w:rPr>
          <w:rFonts w:ascii="方正小标宋简体" w:eastAsia="方正小标宋简体" w:cs="Arial" w:hint="eastAsia"/>
          <w:bCs/>
          <w:color w:val="000000"/>
          <w:sz w:val="44"/>
          <w:szCs w:val="44"/>
        </w:rPr>
        <w:t>中方关注的检疫性有害生物</w:t>
      </w:r>
    </w:p>
    <w:tbl>
      <w:tblPr>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0" w:type="dxa"/>
          <w:left w:w="108" w:type="dxa"/>
          <w:bottom w:w="0" w:type="dxa"/>
          <w:right w:w="108" w:type="dxa"/>
        </w:tblCellMar>
      </w:tblPr>
      <w:tblGrid>
        <w:gridCol w:w="1377"/>
        <w:gridCol w:w="4886"/>
        <w:gridCol w:w="2620"/>
      </w:tblGrid>
      <w:tr>
        <w:trPr>
          <w:trHeight w:val="283"/>
        </w:trPr>
        <w:tc>
          <w:tcPr>
            <w:tcW w:w="1377" w:type="dxa"/>
            <w:vAlign w:val="center"/>
          </w:tcPr>
          <w:p>
            <w:pPr>
              <w:spacing w:line="594" w:lineRule="exact"/>
              <w:jc w:val="center"/>
              <w:rPr>
                <w:rFonts w:ascii="方正黑体简体" w:eastAsia="方正黑体简体" w:cs="楷体_GB2312"/>
                <w:color w:val="000000"/>
                <w:sz w:val="32"/>
                <w:szCs w:val="32"/>
              </w:rPr>
            </w:pPr>
            <w:r>
              <w:rPr>
                <w:rFonts w:ascii="方正黑体简体" w:eastAsia="方正黑体简体" w:cs="楷体_GB2312" w:hint="eastAsia"/>
                <w:color w:val="000000"/>
                <w:sz w:val="32"/>
                <w:szCs w:val="32"/>
              </w:rPr>
              <w:t>序号</w:t>
            </w:r>
          </w:p>
        </w:tc>
        <w:tc>
          <w:tcPr>
            <w:tcW w:w="4886" w:type="dxa"/>
            <w:vAlign w:val="center"/>
          </w:tcPr>
          <w:p>
            <w:pPr>
              <w:spacing w:line="594" w:lineRule="exact"/>
              <w:jc w:val="center"/>
              <w:rPr>
                <w:rFonts w:ascii="方正黑体简体" w:eastAsia="方正黑体简体" w:cs="楷体_GB2312"/>
                <w:color w:val="000000"/>
                <w:sz w:val="32"/>
                <w:szCs w:val="32"/>
              </w:rPr>
            </w:pPr>
            <w:r>
              <w:rPr>
                <w:rFonts w:ascii="方正黑体简体" w:eastAsia="方正黑体简体" w:cs="楷体_GB2312" w:hint="eastAsia"/>
                <w:color w:val="000000"/>
                <w:sz w:val="32"/>
                <w:szCs w:val="32"/>
              </w:rPr>
              <w:t>学名</w:t>
            </w:r>
          </w:p>
        </w:tc>
        <w:tc>
          <w:tcPr>
            <w:tcW w:w="2620" w:type="dxa"/>
            <w:vAlign w:val="center"/>
          </w:tcPr>
          <w:p>
            <w:pPr>
              <w:spacing w:line="594" w:lineRule="exact"/>
              <w:jc w:val="center"/>
              <w:rPr>
                <w:rFonts w:ascii="方正黑体简体" w:eastAsia="方正黑体简体" w:cs="楷体_GB2312"/>
                <w:color w:val="000000"/>
                <w:sz w:val="32"/>
                <w:szCs w:val="32"/>
              </w:rPr>
            </w:pPr>
            <w:r>
              <w:rPr>
                <w:rFonts w:ascii="方正黑体简体" w:eastAsia="方正黑体简体" w:cs="楷体_GB2312" w:hint="eastAsia"/>
                <w:color w:val="000000"/>
                <w:sz w:val="32"/>
                <w:szCs w:val="32"/>
              </w:rPr>
              <w:t>中文名</w:t>
            </w:r>
          </w:p>
        </w:tc>
      </w:tr>
      <w:tr>
        <w:trPr>
          <w:trHeight w:val="283"/>
        </w:trPr>
        <w:tc>
          <w:tcPr>
            <w:tcW w:w="8883" w:type="dxa"/>
            <w:gridSpan w:val="3"/>
            <w:vAlign w:val="center"/>
          </w:tcPr>
          <w:p>
            <w:pPr>
              <w:spacing w:line="594" w:lineRule="exact"/>
              <w:rPr>
                <w:rFonts w:eastAsia="仿宋"/>
                <w:kern w:val="0"/>
              </w:rPr>
            </w:pPr>
            <w:r>
              <w:rPr>
                <w:rFonts w:ascii="方正仿宋简体" w:eastAsia="方正仿宋简体" w:hint="eastAsia"/>
                <w:b/>
                <w:color w:val="000000"/>
                <w:sz w:val="32"/>
                <w:szCs w:val="32"/>
              </w:rPr>
              <w:t>昆虫</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p>
        </w:tc>
        <w:tc>
          <w:tcPr>
            <w:tcW w:w="4886" w:type="dxa"/>
            <w:vAlign w:val="center"/>
          </w:tcPr>
          <w:p>
            <w:pPr>
              <w:spacing w:line="594" w:lineRule="exact"/>
              <w:rPr>
                <w:i/>
                <w:sz w:val="28"/>
                <w:szCs w:val="28"/>
              </w:rPr>
            </w:pPr>
            <w:r>
              <w:rPr>
                <w:i/>
                <w:sz w:val="28"/>
                <w:szCs w:val="28"/>
              </w:rPr>
              <w:t>Liriomyza</w:t>
            </w:r>
            <w:r>
              <w:rPr>
                <w:rFonts w:hint="eastAsia"/>
                <w:i/>
                <w:sz w:val="28"/>
                <w:szCs w:val="28"/>
              </w:rPr>
              <w:t xml:space="preserve"> </w:t>
            </w:r>
            <w:r>
              <w:rPr>
                <w:i/>
                <w:sz w:val="28"/>
                <w:szCs w:val="28"/>
              </w:rPr>
              <w:t>trifolii</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三叶草斑潜蝇</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2</w:t>
            </w:r>
          </w:p>
        </w:tc>
        <w:tc>
          <w:tcPr>
            <w:tcW w:w="4886" w:type="dxa"/>
            <w:vAlign w:val="center"/>
          </w:tcPr>
          <w:p>
            <w:pPr>
              <w:spacing w:line="594" w:lineRule="exact"/>
              <w:rPr>
                <w:i/>
                <w:sz w:val="28"/>
                <w:szCs w:val="28"/>
              </w:rPr>
            </w:pPr>
            <w:r>
              <w:rPr>
                <w:i/>
                <w:sz w:val="28"/>
                <w:szCs w:val="28"/>
              </w:rPr>
              <w:t>Spodoptera</w:t>
            </w:r>
            <w:r>
              <w:rPr>
                <w:rFonts w:hint="eastAsia"/>
                <w:i/>
                <w:sz w:val="28"/>
                <w:szCs w:val="28"/>
              </w:rPr>
              <w:t xml:space="preserve"> </w:t>
            </w:r>
            <w:r>
              <w:rPr>
                <w:i/>
                <w:sz w:val="28"/>
                <w:szCs w:val="28"/>
              </w:rPr>
              <w:t>littoralis</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海灰翅夜蛾</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3</w:t>
            </w:r>
          </w:p>
        </w:tc>
        <w:tc>
          <w:tcPr>
            <w:tcW w:w="4886" w:type="dxa"/>
            <w:vAlign w:val="center"/>
          </w:tcPr>
          <w:p>
            <w:pPr>
              <w:spacing w:line="594" w:lineRule="exact"/>
              <w:rPr>
                <w:i/>
                <w:sz w:val="28"/>
                <w:szCs w:val="28"/>
              </w:rPr>
            </w:pPr>
            <w:r>
              <w:rPr>
                <w:i/>
                <w:sz w:val="28"/>
                <w:szCs w:val="28"/>
              </w:rPr>
              <w:t> Mirococcus inermis</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sz w:val="28"/>
                <w:szCs w:val="28"/>
              </w:rPr>
              <w:t>藜</w:t>
            </w:r>
            <w:r>
              <w:rPr>
                <w:rFonts w:ascii="方正仿宋简体" w:eastAsia="方正仿宋简体" w:hint="eastAsia"/>
                <w:sz w:val="28"/>
                <w:szCs w:val="28"/>
              </w:rPr>
              <w:t>根少粉蚧</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4</w:t>
            </w:r>
          </w:p>
        </w:tc>
        <w:tc>
          <w:tcPr>
            <w:tcW w:w="4886" w:type="dxa"/>
            <w:vAlign w:val="center"/>
          </w:tcPr>
          <w:p>
            <w:pPr>
              <w:spacing w:line="594" w:lineRule="exact"/>
              <w:rPr>
                <w:i/>
                <w:sz w:val="28"/>
                <w:szCs w:val="28"/>
              </w:rPr>
            </w:pPr>
            <w:r>
              <w:rPr>
                <w:i/>
                <w:sz w:val="28"/>
                <w:szCs w:val="28"/>
              </w:rPr>
              <w:t>Oedaleus senegalensis</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塞内加尔小车蝗</w:t>
            </w:r>
          </w:p>
        </w:tc>
      </w:tr>
      <w:tr>
        <w:trPr>
          <w:trHeight w:val="283"/>
        </w:trPr>
        <w:tc>
          <w:tcPr>
            <w:tcW w:w="8883" w:type="dxa"/>
            <w:gridSpan w:val="3"/>
            <w:vAlign w:val="center"/>
          </w:tcPr>
          <w:p>
            <w:pPr>
              <w:spacing w:line="594" w:lineRule="exact"/>
              <w:rPr>
                <w:rFonts w:eastAsia="仿宋"/>
                <w:kern w:val="0"/>
              </w:rPr>
            </w:pPr>
            <w:r>
              <w:rPr>
                <w:rFonts w:ascii="方正仿宋简体" w:eastAsia="方正仿宋简体" w:hint="eastAsia"/>
                <w:b/>
                <w:color w:val="000000"/>
                <w:sz w:val="32"/>
                <w:szCs w:val="32"/>
              </w:rPr>
              <w:t>线虫</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5</w:t>
            </w:r>
          </w:p>
        </w:tc>
        <w:tc>
          <w:tcPr>
            <w:tcW w:w="4886" w:type="dxa"/>
            <w:vAlign w:val="center"/>
          </w:tcPr>
          <w:p>
            <w:pPr>
              <w:spacing w:line="594" w:lineRule="exact"/>
              <w:rPr>
                <w:i/>
                <w:sz w:val="28"/>
                <w:szCs w:val="28"/>
              </w:rPr>
            </w:pPr>
            <w:r>
              <w:rPr>
                <w:i/>
                <w:sz w:val="28"/>
                <w:szCs w:val="28"/>
              </w:rPr>
              <w:fldChar w:fldCharType="begin"/>
            </w:r>
            <w:r>
              <w:instrText>HYPERLINK "http://10.239.7.117/sites/pestpra/query/Pages/PestPra_PestView.aspx?psnamesci=Meloidogyne arenaria"</w:instrText>
            </w:r>
            <w:r>
              <w:rPr>
                <w:i/>
                <w:sz w:val="28"/>
                <w:szCs w:val="28"/>
              </w:rPr>
              <w:fldChar w:fldCharType="separate"/>
            </w:r>
            <w:r>
              <w:rPr>
                <w:i/>
                <w:sz w:val="28"/>
                <w:szCs w:val="28"/>
              </w:rPr>
              <w:t>Meloidogyne arenaria</w:t>
            </w:r>
            <w:r>
              <w:rPr>
                <w:i/>
                <w:sz w:val="28"/>
                <w:szCs w:val="28"/>
              </w:rPr>
              <w:fldChar w:fldCharType="end"/>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花生根结线虫</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6</w:t>
            </w:r>
          </w:p>
        </w:tc>
        <w:tc>
          <w:tcPr>
            <w:tcW w:w="4886" w:type="dxa"/>
            <w:vAlign w:val="center"/>
          </w:tcPr>
          <w:p>
            <w:pPr>
              <w:spacing w:line="594" w:lineRule="exact"/>
              <w:rPr>
                <w:i/>
                <w:sz w:val="28"/>
                <w:szCs w:val="28"/>
              </w:rPr>
            </w:pPr>
            <w:r>
              <w:rPr>
                <w:i/>
                <w:sz w:val="28"/>
                <w:szCs w:val="28"/>
              </w:rPr>
              <w:t>Meloidogyne incognita</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南方根结线虫</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7</w:t>
            </w:r>
          </w:p>
        </w:tc>
        <w:tc>
          <w:tcPr>
            <w:tcW w:w="4886" w:type="dxa"/>
            <w:vAlign w:val="center"/>
          </w:tcPr>
          <w:p>
            <w:pPr>
              <w:spacing w:line="594" w:lineRule="exact"/>
              <w:rPr>
                <w:i/>
                <w:sz w:val="28"/>
                <w:szCs w:val="28"/>
              </w:rPr>
            </w:pPr>
            <w:r>
              <w:rPr>
                <w:i/>
                <w:sz w:val="28"/>
                <w:szCs w:val="28"/>
              </w:rPr>
              <w:fldChar w:fldCharType="begin"/>
            </w:r>
            <w:r>
              <w:instrText>HYPERLINK "http://10.239.7.117/sites/pestpra/query/Pages/PestPra_PestView.aspx?psnamesci=Meloidogyne javanica"</w:instrText>
            </w:r>
            <w:r>
              <w:rPr>
                <w:i/>
                <w:sz w:val="28"/>
                <w:szCs w:val="28"/>
              </w:rPr>
              <w:fldChar w:fldCharType="separate"/>
            </w:r>
            <w:r>
              <w:rPr>
                <w:i/>
                <w:sz w:val="28"/>
                <w:szCs w:val="28"/>
              </w:rPr>
              <w:t>Meloidogyne javanica</w:t>
            </w:r>
            <w:r>
              <w:rPr>
                <w:i/>
                <w:sz w:val="28"/>
                <w:szCs w:val="28"/>
              </w:rPr>
              <w:fldChar w:fldCharType="end"/>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爪哇根结线虫</w:t>
            </w:r>
          </w:p>
        </w:tc>
      </w:tr>
      <w:tr>
        <w:trPr>
          <w:trHeight w:val="283"/>
        </w:trPr>
        <w:tc>
          <w:tcPr>
            <w:tcW w:w="8883" w:type="dxa"/>
            <w:gridSpan w:val="3"/>
            <w:vAlign w:val="center"/>
          </w:tcPr>
          <w:p>
            <w:pPr>
              <w:spacing w:line="594" w:lineRule="exact"/>
              <w:rPr>
                <w:rFonts w:eastAsia="仿宋"/>
                <w:kern w:val="0"/>
              </w:rPr>
            </w:pPr>
            <w:r>
              <w:rPr>
                <w:rFonts w:ascii="方正仿宋简体" w:eastAsia="方正仿宋简体" w:hint="eastAsia"/>
                <w:b/>
                <w:color w:val="000000"/>
                <w:sz w:val="32"/>
                <w:szCs w:val="32"/>
              </w:rPr>
              <w:t>细菌</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8</w:t>
            </w:r>
          </w:p>
        </w:tc>
        <w:tc>
          <w:tcPr>
            <w:tcW w:w="4886" w:type="dxa"/>
            <w:vAlign w:val="center"/>
          </w:tcPr>
          <w:p>
            <w:pPr>
              <w:spacing w:line="594" w:lineRule="exact"/>
              <w:rPr>
                <w:i/>
                <w:sz w:val="28"/>
                <w:szCs w:val="28"/>
              </w:rPr>
            </w:pPr>
            <w:r>
              <w:rPr>
                <w:i/>
                <w:sz w:val="28"/>
                <w:szCs w:val="28"/>
              </w:rPr>
              <w:t>Dickeya</w:t>
            </w:r>
            <w:r>
              <w:rPr>
                <w:rFonts w:hint="eastAsia"/>
                <w:i/>
                <w:sz w:val="28"/>
                <w:szCs w:val="28"/>
              </w:rPr>
              <w:t xml:space="preserve"> </w:t>
            </w:r>
            <w:r>
              <w:rPr>
                <w:i/>
                <w:sz w:val="28"/>
                <w:szCs w:val="28"/>
              </w:rPr>
              <w:t>chrysanthemi</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菊迪卡氏菌</w:t>
            </w:r>
          </w:p>
        </w:tc>
      </w:tr>
      <w:tr>
        <w:trPr>
          <w:trHeight w:val="283"/>
        </w:trPr>
        <w:tc>
          <w:tcPr>
            <w:tcW w:w="8883" w:type="dxa"/>
            <w:gridSpan w:val="3"/>
            <w:vAlign w:val="center"/>
          </w:tcPr>
          <w:p>
            <w:pPr>
              <w:spacing w:line="594" w:lineRule="exact"/>
              <w:rPr>
                <w:rFonts w:eastAsia="仿宋"/>
                <w:kern w:val="0"/>
              </w:rPr>
            </w:pPr>
            <w:r>
              <w:rPr>
                <w:rFonts w:ascii="方正仿宋简体" w:eastAsia="方正仿宋简体" w:hint="eastAsia"/>
                <w:b/>
                <w:color w:val="000000"/>
                <w:sz w:val="32"/>
                <w:szCs w:val="32"/>
              </w:rPr>
              <w:t>杂草</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9</w:t>
            </w:r>
          </w:p>
        </w:tc>
        <w:tc>
          <w:tcPr>
            <w:tcW w:w="4886" w:type="dxa"/>
            <w:vAlign w:val="center"/>
          </w:tcPr>
          <w:p>
            <w:pPr>
              <w:spacing w:line="594" w:lineRule="exact"/>
              <w:rPr>
                <w:i/>
                <w:sz w:val="28"/>
                <w:szCs w:val="28"/>
              </w:rPr>
            </w:pPr>
            <w:r>
              <w:rPr>
                <w:i/>
                <w:sz w:val="28"/>
                <w:szCs w:val="28"/>
              </w:rPr>
              <w:t>Lolium</w:t>
            </w:r>
            <w:r>
              <w:rPr>
                <w:rFonts w:hint="eastAsia"/>
                <w:i/>
                <w:sz w:val="28"/>
                <w:szCs w:val="28"/>
              </w:rPr>
              <w:t xml:space="preserve"> </w:t>
            </w:r>
            <w:r>
              <w:rPr>
                <w:i/>
                <w:sz w:val="28"/>
                <w:szCs w:val="28"/>
              </w:rPr>
              <w:t>temulentum</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毒麦</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r>
              <w:rPr>
                <w:rFonts w:ascii="方正仿宋简体" w:eastAsia="方正仿宋简体" w:hint="eastAsia"/>
                <w:sz w:val="28"/>
                <w:szCs w:val="28"/>
              </w:rPr>
              <w:t>0</w:t>
            </w:r>
          </w:p>
        </w:tc>
        <w:tc>
          <w:tcPr>
            <w:tcW w:w="4886" w:type="dxa"/>
            <w:vAlign w:val="center"/>
          </w:tcPr>
          <w:p>
            <w:pPr>
              <w:spacing w:line="594" w:lineRule="exact"/>
              <w:rPr>
                <w:i/>
                <w:sz w:val="28"/>
                <w:szCs w:val="28"/>
              </w:rPr>
            </w:pPr>
            <w:r>
              <w:rPr>
                <w:i/>
                <w:sz w:val="28"/>
                <w:szCs w:val="28"/>
              </w:rPr>
              <w:t>Orobanche</w:t>
            </w:r>
            <w:r>
              <w:rPr>
                <w:rFonts w:hint="eastAsia"/>
                <w:i/>
                <w:sz w:val="28"/>
                <w:szCs w:val="28"/>
              </w:rPr>
              <w:t xml:space="preserve"> </w:t>
            </w:r>
            <w:r>
              <w:rPr>
                <w:i/>
                <w:sz w:val="28"/>
                <w:szCs w:val="28"/>
              </w:rPr>
              <w:t>minor</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小列当</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r>
              <w:rPr>
                <w:rFonts w:ascii="方正仿宋简体" w:eastAsia="方正仿宋简体" w:hint="eastAsia"/>
                <w:sz w:val="28"/>
                <w:szCs w:val="28"/>
              </w:rPr>
              <w:t>1</w:t>
            </w:r>
          </w:p>
        </w:tc>
        <w:tc>
          <w:tcPr>
            <w:tcW w:w="4886" w:type="dxa"/>
            <w:vAlign w:val="center"/>
          </w:tcPr>
          <w:p>
            <w:pPr>
              <w:spacing w:line="594" w:lineRule="exact"/>
              <w:rPr>
                <w:i/>
                <w:sz w:val="28"/>
                <w:szCs w:val="28"/>
              </w:rPr>
            </w:pPr>
            <w:r>
              <w:rPr>
                <w:i/>
                <w:sz w:val="28"/>
                <w:szCs w:val="28"/>
              </w:rPr>
              <w:t>Cuscuta</w:t>
            </w:r>
            <w:r>
              <w:rPr>
                <w:rFonts w:hint="eastAsia"/>
                <w:i/>
                <w:sz w:val="28"/>
                <w:szCs w:val="28"/>
              </w:rPr>
              <w:t xml:space="preserve"> </w:t>
            </w:r>
            <w:r>
              <w:rPr>
                <w:i/>
                <w:sz w:val="28"/>
                <w:szCs w:val="28"/>
              </w:rPr>
              <w:t>campestris</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田野菟丝子</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r>
              <w:rPr>
                <w:rFonts w:ascii="方正仿宋简体" w:eastAsia="方正仿宋简体" w:hint="eastAsia"/>
                <w:sz w:val="28"/>
                <w:szCs w:val="28"/>
              </w:rPr>
              <w:t>2</w:t>
            </w:r>
          </w:p>
        </w:tc>
        <w:tc>
          <w:tcPr>
            <w:tcW w:w="4886" w:type="dxa"/>
            <w:vAlign w:val="center"/>
          </w:tcPr>
          <w:p>
            <w:pPr>
              <w:spacing w:line="594" w:lineRule="exact"/>
              <w:rPr>
                <w:i/>
                <w:sz w:val="28"/>
                <w:szCs w:val="28"/>
              </w:rPr>
            </w:pPr>
            <w:r>
              <w:rPr>
                <w:i/>
                <w:sz w:val="28"/>
                <w:szCs w:val="28"/>
              </w:rPr>
              <w:t>Fumaria officinalis</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蓝堇</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r>
              <w:rPr>
                <w:rFonts w:ascii="方正仿宋简体" w:eastAsia="方正仿宋简体" w:hint="eastAsia"/>
                <w:sz w:val="28"/>
                <w:szCs w:val="28"/>
              </w:rPr>
              <w:t>3</w:t>
            </w:r>
          </w:p>
        </w:tc>
        <w:tc>
          <w:tcPr>
            <w:tcW w:w="4886" w:type="dxa"/>
            <w:vAlign w:val="center"/>
          </w:tcPr>
          <w:p>
            <w:pPr>
              <w:spacing w:line="594" w:lineRule="exact"/>
              <w:rPr>
                <w:i/>
                <w:sz w:val="28"/>
                <w:szCs w:val="28"/>
              </w:rPr>
            </w:pPr>
            <w:r>
              <w:rPr>
                <w:i/>
                <w:sz w:val="28"/>
                <w:szCs w:val="28"/>
              </w:rPr>
              <w:t>Chenopodium murale</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墙生藜</w:t>
            </w:r>
          </w:p>
        </w:tc>
      </w:tr>
      <w:tr>
        <w:trPr>
          <w:trHeight w:val="283"/>
        </w:trPr>
        <w:tc>
          <w:tcPr>
            <w:tcW w:w="1377" w:type="dxa"/>
            <w:vAlign w:val="center"/>
          </w:tcPr>
          <w:p>
            <w:pPr>
              <w:spacing w:line="594" w:lineRule="exact"/>
              <w:rPr>
                <w:rFonts w:ascii="方正仿宋简体" w:eastAsia="方正仿宋简体"/>
                <w:sz w:val="28"/>
                <w:szCs w:val="28"/>
              </w:rPr>
            </w:pPr>
            <w:r>
              <w:rPr>
                <w:rFonts w:ascii="方正仿宋简体" w:eastAsia="方正仿宋简体"/>
                <w:sz w:val="28"/>
                <w:szCs w:val="28"/>
              </w:rPr>
              <w:t>1</w:t>
            </w:r>
            <w:r>
              <w:rPr>
                <w:rFonts w:ascii="方正仿宋简体" w:eastAsia="方正仿宋简体" w:hint="eastAsia"/>
                <w:sz w:val="28"/>
                <w:szCs w:val="28"/>
              </w:rPr>
              <w:t>4</w:t>
            </w:r>
          </w:p>
        </w:tc>
        <w:tc>
          <w:tcPr>
            <w:tcW w:w="4886" w:type="dxa"/>
            <w:vAlign w:val="center"/>
          </w:tcPr>
          <w:p>
            <w:pPr>
              <w:spacing w:line="594" w:lineRule="exact"/>
              <w:rPr>
                <w:i/>
                <w:sz w:val="28"/>
                <w:szCs w:val="28"/>
              </w:rPr>
            </w:pPr>
            <w:r>
              <w:rPr>
                <w:i/>
                <w:sz w:val="28"/>
                <w:szCs w:val="28"/>
              </w:rPr>
              <w:t>Pennisetum macrourum</w:t>
            </w:r>
          </w:p>
        </w:tc>
        <w:tc>
          <w:tcPr>
            <w:tcW w:w="2620" w:type="dxa"/>
            <w:vAlign w:val="center"/>
          </w:tcPr>
          <w:p>
            <w:pPr>
              <w:spacing w:line="594" w:lineRule="exact"/>
              <w:rPr>
                <w:rFonts w:ascii="方正仿宋简体" w:eastAsia="方正仿宋简体"/>
                <w:sz w:val="28"/>
                <w:szCs w:val="28"/>
              </w:rPr>
            </w:pPr>
            <w:r>
              <w:rPr>
                <w:rFonts w:ascii="方正仿宋简体" w:eastAsia="方正仿宋简体" w:hint="eastAsia"/>
                <w:sz w:val="28"/>
                <w:szCs w:val="28"/>
              </w:rPr>
              <w:t>非洲羽毛草</w:t>
            </w:r>
          </w:p>
        </w:tc>
      </w:tr>
    </w:tbl>
    <w:p>
      <w:pPr>
        <w:autoSpaceDE w:val="0"/>
        <w:autoSpaceDN w:val="0"/>
        <w:adjustRightInd w:val="0"/>
        <w:spacing w:line="594" w:lineRule="exact"/>
        <w:ind w:right="187"/>
        <w:rPr>
          <w:rFonts w:ascii="方正黑体简体" w:eastAsia="方正黑体简体" w:cs="Arial" w:hint="eastAsia"/>
          <w:sz w:val="32"/>
          <w:szCs w:val="32"/>
          <w:lang w:val="pt-BR"/>
        </w:rPr>
      </w:pPr>
      <w:r>
        <w:rPr>
          <w:rFonts w:ascii="方正黑体简体" w:eastAsia="方正黑体简体" w:cs="Arial" w:hint="eastAsia"/>
          <w:sz w:val="32"/>
          <w:szCs w:val="32"/>
          <w:lang w:val="pt-BR"/>
        </w:rPr>
        <w:t>附2</w:t>
      </w:r>
    </w:p>
    <w:p>
      <w:pPr>
        <w:autoSpaceDE w:val="0"/>
        <w:autoSpaceDN w:val="0"/>
        <w:spacing w:line="594" w:lineRule="exact"/>
        <w:jc w:val="center"/>
        <w:rPr>
          <w:rFonts w:ascii="方正小标宋简体" w:eastAsia="方正小标宋简体" w:cs="Arial" w:hint="eastAsia"/>
          <w:bCs/>
          <w:color w:val="000000"/>
          <w:sz w:val="44"/>
          <w:szCs w:val="44"/>
        </w:rPr>
      </w:pPr>
      <w:r>
        <w:rPr>
          <w:rFonts w:ascii="方正小标宋简体" w:eastAsia="方正小标宋简体" w:cs="Arial" w:hint="eastAsia"/>
          <w:bCs/>
          <w:color w:val="000000"/>
          <w:sz w:val="44"/>
          <w:szCs w:val="44"/>
        </w:rPr>
        <w:t>植物检疫证书样本</w:t>
      </w:r>
    </w:p>
    <w:p>
      <w:pPr>
        <w:autoSpaceDE w:val="0"/>
        <w:autoSpaceDN w:val="0"/>
        <w:spacing w:line="594" w:lineRule="exact"/>
        <w:jc w:val="center"/>
        <w:rPr>
          <w:rFonts w:ascii="方正小标宋简体" w:eastAsia="方正小标宋简体" w:cs="Arial" w:hint="eastAsia"/>
          <w:bCs/>
          <w:color w:val="000000"/>
          <w:sz w:val="44"/>
          <w:szCs w:val="44"/>
        </w:rPr>
      </w:pPr>
      <w:r>
        <w:rPr>
          <w:rFonts w:ascii="方正仿宋简体" w:eastAsia="方正仿宋简体"/>
          <w:sz w:val="32"/>
          <w:szCs w:val="32"/>
        </w:rPr>
        <w:object>
          <v:shapetype id="_x0000_t75" coordsize="21600,216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type="#_x0000_t75" filled="f" stroked="f" style="position:absolute;margin-left:8.0pt;margin-top:7.9pt;width:435.0pt;height:570.75pt;z-index:10;mso-position-horizontal:absolute;mso-position-vertical:absolute;mso-wrap-distance-left:8.999863pt;mso-wrap-distance-right:8.999863pt;" o:ole="">
            <v:stroke color="#000000"/>
            <v:imagedata r:id="rId4" o:title="7691506061753835736849"/>
            <o:lock aspectratio="t"/>
          </v:shape>
          <o:OLEObject Type="Embed" ProgID="Package" ShapeID="_x0000_i1" DrawAspect="Icon" ObjectID="_1393063351" r:id="rId5"/>
        </w:object>
      </w: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pPr>
        <w:autoSpaceDE w:val="0"/>
        <w:autoSpaceDN w:val="0"/>
        <w:spacing w:line="594" w:lineRule="exact"/>
        <w:jc w:val="center"/>
        <w:rPr>
          <w:rFonts w:ascii="方正小标宋简体" w:eastAsia="方正小标宋简体" w:cs="Arial" w:hint="eastAsia"/>
          <w:bCs/>
          <w:color w:val="000000"/>
          <w:sz w:val="44"/>
          <w:szCs w:val="44"/>
        </w:rPr>
      </w:pPr>
    </w:p>
    <w:p/>
    <w:sectPr>
      <w:footerReference w:type="default" r:id="rId2"/>
      <w:footerReference w:type="even" r:id="rId3"/>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宋体">
    <w:altName w:val="SimSun"/>
    <w:panose1 w:val="02010600030101010101"/>
    <w:charset w:val="86"/>
    <w:family w:val="auto"/>
    <w:pitch w:val="variable"/>
    <w:sig w:usb0="00000003" w:usb1="080E0000" w:usb2="00000010" w:usb3="00000000" w:csb0="00040001" w:csb1="00000000"/>
  </w:font>
  <w:font w:name="方正黑体简体">
    <w:altName w:val="Arial Unicode MS"/>
    <w:panose1 w:val="00000000000000000000"/>
    <w:charset w:val="86"/>
    <w:family w:val="script"/>
    <w:pitch w:val="variable"/>
    <w:sig w:usb0="00000001" w:usb1="080E0000" w:usb2="00000010" w:usb3="00000000" w:csb0="00040000" w:csb1="00000000"/>
  </w:font>
  <w:font w:name="方正小标宋简体">
    <w:altName w:val="Arial Unicode MS"/>
    <w:panose1 w:val="00000000000000000000"/>
    <w:charset w:val="86"/>
    <w:family w:val="script"/>
    <w:pitch w:val="variable"/>
    <w:sig w:usb0="00000001" w:usb1="080E0000" w:usb2="00000010" w:usb3="00000000" w:csb0="00040000" w:csb1="00000000"/>
  </w:font>
  <w:font w:name="方正仿宋简体">
    <w:altName w:val="Arial Unicode MS"/>
    <w:panose1 w:val="00000000000000000000"/>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方正楷体简体">
    <w:altName w:val="Arial Unicode MS"/>
    <w:panose1 w:val="00000000000000000000"/>
    <w:charset w:val="86"/>
    <w:family w:val="script"/>
    <w:pitch w:val="variable"/>
    <w:sig w:usb0="00000000" w:usb1="080E0000" w:usb2="00000010" w:usb3="00000000" w:csb0="00040000" w:csb1="00000000"/>
  </w:font>
  <w:font w:name="楷体_GB2312">
    <w:altName w:val="楷体"/>
    <w:panose1 w:val="02010609030101010101"/>
    <w:charset w:val="86"/>
    <w:family w:val="modern"/>
    <w:pitch w:val="variable"/>
    <w:sig w:usb0="00000001" w:usb1="080E0000" w:usb2="00000010" w:usb3="00000000" w:csb0="00040000" w:csb1="00000000"/>
  </w:font>
  <w:font w:name="仿宋">
    <w:altName w:val="Arial Unicode MS"/>
    <w:panose1 w:val="00000000000000000000"/>
    <w:charset w:val="86"/>
    <w:family w:val="modern"/>
    <w:pitch w:val="variable"/>
    <w:sig w:usb0="00000000" w:usb1="38CF7CFA" w:usb2="00000016" w:usb3="00000000" w:csb0="00040001" w:csb1="00000000"/>
  </w:font>
  <w:font w:name="Times New Roman">
    <w:panose1 w:val="02020603050405020304"/>
    <w:charset w:val="00"/>
    <w:family w:val="auto"/>
    <w:pitch w:val="variable"/>
    <w:sig w:usb0="00000A87" w:usb1="00000000" w:usb2="00000000" w:usb3="00000000" w:csb0="400001BF" w:csb1="DFF7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p>
    <w:pPr>
      <w:pStyle w:val="16"/>
      <w:framePr w:w="0" w:hRule="auto" w:wrap="around" w:vAnchor="text" w:hAnchor="margin" w:xAlign="outside" w:y="1" w:anchorLock="0"/>
      <w:tabs>
        <w:tab w:val="center" w:pos="4153"/>
        <w:tab w:val="right" w:pos="8306"/>
      </w:tabs>
      <w:rPr>
        <w:rStyle w:val="17"/>
        <w:rFonts w:ascii="宋体" w:hint="eastAsia"/>
        <w:sz w:val="28"/>
        <w:szCs w:val="28"/>
      </w:rPr>
    </w:pPr>
    <w:r>
      <w:rPr>
        <w:rStyle w:val="17"/>
        <w:rFonts w:ascii="宋体" w:hint="eastAsia"/>
        <w:sz w:val="28"/>
        <w:szCs w:val="28"/>
      </w:rPr>
      <w:t xml:space="preserve">— </w:t>
    </w:r>
    <w:r>
      <w:rPr>
        <w:rStyle w:val="17"/>
        <w:rFonts w:ascii="宋体"/>
        <w:sz w:val="28"/>
        <w:szCs w:val="28"/>
      </w:rPr>
      <w:fldChar w:fldCharType="begin"/>
    </w:r>
    <w:r>
      <w:rPr>
        <w:rStyle w:val="17"/>
        <w:rFonts w:ascii="宋体"/>
        <w:sz w:val="28"/>
        <w:szCs w:val="28"/>
      </w:rPr>
      <w:instrText xml:space="preserve">PAGE  </w:instrText>
    </w:r>
    <w:r>
      <w:rPr>
        <w:rStyle w:val="17"/>
        <w:rFonts w:ascii="宋体"/>
        <w:sz w:val="28"/>
        <w:szCs w:val="28"/>
      </w:rPr>
      <w:fldChar w:fldCharType="separate"/>
    </w:r>
    <w:r>
      <w:rPr>
        <w:rStyle w:val="17"/>
        <w:rFonts w:ascii="宋体"/>
        <w:sz w:val="28"/>
        <w:szCs w:val="28"/>
      </w:rPr>
      <w:t>1</w:t>
    </w:r>
    <w:r>
      <w:rPr>
        <w:rStyle w:val="17"/>
        <w:rFonts w:ascii="宋体"/>
        <w:sz w:val="28"/>
        <w:szCs w:val="28"/>
      </w:rPr>
      <w:fldChar w:fldCharType="end"/>
    </w:r>
    <w:r>
      <w:rPr>
        <w:rStyle w:val="17"/>
        <w:rFonts w:ascii="宋体" w:hint="eastAsia"/>
        <w:sz w:val="28"/>
        <w:szCs w:val="28"/>
      </w:rPr>
      <w:t xml:space="preserve"> —</w:t>
    </w:r>
  </w:p>
  <w:p>
    <w:pPr>
      <w:pStyle w:val="16"/>
      <w:tabs>
        <w:tab w:val="center" w:pos="4153"/>
        <w:tab w:val="right" w:pos="8306"/>
      </w:tabs>
      <w:ind w:right="360" w:firstLine="360"/>
    </w:pPr>
  </w:p>
</w:ftr>
</file>

<file path=word/footer2.xml><?xml version="1.0" encoding="utf-8"?>
<w:ftr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p>
    <w:pPr>
      <w:pStyle w:val="16"/>
      <w:tabs>
        <w:tab w:val="center" w:pos="4153"/>
        <w:tab w:val="right" w:pos="8306"/>
      </w:tabs>
      <w:ind w:right="360"/>
    </w:pPr>
    <w:r>
      <w:rPr>
        <w:rStyle w:val="17"/>
        <w:rFonts w:ascii="宋体" w:hint="eastAsia"/>
        <w:sz w:val="28"/>
        <w:szCs w:val="28"/>
      </w:rPr>
      <w:t xml:space="preserve">— </w:t>
    </w:r>
    <w:r>
      <w:rPr>
        <w:rStyle w:val="17"/>
        <w:rFonts w:ascii="宋体"/>
        <w:sz w:val="28"/>
        <w:szCs w:val="28"/>
      </w:rPr>
      <w:fldChar w:fldCharType="begin"/>
    </w:r>
    <w:r>
      <w:rPr>
        <w:rStyle w:val="17"/>
        <w:rFonts w:ascii="宋体"/>
        <w:sz w:val="28"/>
        <w:szCs w:val="28"/>
      </w:rPr>
      <w:instrText xml:space="preserve">PAGE  </w:instrText>
    </w:r>
    <w:r>
      <w:rPr>
        <w:rStyle w:val="17"/>
        <w:rFonts w:ascii="宋体"/>
        <w:sz w:val="28"/>
        <w:szCs w:val="28"/>
      </w:rPr>
      <w:fldChar w:fldCharType="separate"/>
    </w:r>
    <w:r>
      <w:rPr>
        <w:rStyle w:val="17"/>
        <w:rFonts w:ascii="宋体"/>
        <w:sz w:val="28"/>
        <w:szCs w:val="28"/>
      </w:rPr>
      <w:t>2</w:t>
    </w:r>
    <w:r>
      <w:rPr>
        <w:rStyle w:val="17"/>
        <w:rFonts w:ascii="宋体"/>
        <w:sz w:val="28"/>
        <w:szCs w:val="28"/>
      </w:rPr>
      <w:fldChar w:fldCharType="end"/>
    </w:r>
    <w:r>
      <w:rPr>
        <w:rStyle w:val="17"/>
        <w:rFonts w:ascii="宋体" w:hint="eastAsia"/>
        <w:sz w:val="28"/>
        <w:szCs w:val="28"/>
      </w:rPr>
      <w:t xml:space="preserve"> —</w:t>
    </w:r>
  </w:p>
</w:ftr>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percent="98"/>
  <w:doNotDisplayPageBoundarie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pPr>
      <w:widowControl w:val="0"/>
      <w:jc w:val="both"/>
    </w:pPr>
    <w:rPr>
      <w:rFonts w:ascii="Calibri" w:eastAsia="宋体" w:cs="Arial" w:hAnsi="Calibri"/>
      <w:kern w:val="2"/>
      <w:sz w:val="21"/>
      <w:szCs w:val="22"/>
      <w:lang w:val="en-US" w:eastAsia="zh-CN" w:bidi="ar-SA"/>
    </w:rPr>
  </w:style>
  <w:style w:type="character" w:default="1" w:styleId="10">
    <w:name w:val="Default Paragraph Font"/>
  </w:style>
  <w:style w:type="paragraph" w:styleId="15">
    <w:name w:val="header"/>
    <w:basedOn w:val="0"/>
    <w:pPr>
      <w:pBdr>
        <w:bottom w:val="single" w:sz="6" w:space="1" w:color="auto"/>
      </w:pBdr>
      <w:tabs>
        <w:tab w:val="center" w:pos="4153"/>
        <w:tab w:val="right" w:pos="8306"/>
      </w:tabs>
      <w:snapToGrid w:val="0"/>
      <w:jc w:val="center"/>
    </w:pPr>
    <w:rPr>
      <w:sz w:val="18"/>
      <w:szCs w:val="18"/>
    </w:rPr>
  </w:style>
  <w:style w:type="paragraph" w:styleId="16">
    <w:name w:val="footer"/>
    <w:basedOn w:val="0"/>
    <w:pPr>
      <w:tabs>
        <w:tab w:val="center" w:pos="4153"/>
        <w:tab w:val="right" w:pos="8306"/>
      </w:tabs>
      <w:snapToGrid w:val="0"/>
      <w:jc w:val="left"/>
    </w:pPr>
    <w:rPr>
      <w:sz w:val="18"/>
      <w:szCs w:val="18"/>
    </w:rPr>
  </w:style>
  <w:style w:type="character" w:styleId="17">
    <w:name w:val="page number"/>
    <w:basedOn w:val="10"/>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oter" Target="footer1.xml"/><Relationship Id="rId3" Type="http://schemas.openxmlformats.org/officeDocument/2006/relationships/footer" Target="footer2.xml"/><Relationship Id="rId4" Type="http://schemas.openxmlformats.org/officeDocument/2006/relationships/image" Target="media/2.png"/><Relationship Id="rId5" Type="http://schemas.openxmlformats.org/officeDocument/2006/relationships/oleObject" Target="embeddings/oleObject1.bin"/><Relationship Id="rId6" Type="http://schemas.openxmlformats.org/officeDocument/2006/relationships/styles" Target="styles.xml"/><Relationship Id="rId7" Type="http://schemas.openxmlformats.org/officeDocument/2006/relationships/fontTable" Target="fontTable.xml"/></Relationships>
</file>

<file path=docProps/app.xml><?xml version="1.0" encoding="utf-8"?>
<Properties xmlns="http://schemas.openxmlformats.org/officeDocument/2006/extended-properties">
  <Template>Normal.eit</Template>
  <TotalTime>11</TotalTime>
  <Application>Yozo_Office</Application>
  <Pages>7</Pages>
  <Words>1631</Words>
  <Characters>1916</Characters>
  <Lines>168</Lines>
  <Paragraphs>101</Paragraphs>
  <CharactersWithSpaces>1944</CharactersWithSpaces>
</Properties>
</file>

<file path=docProps/core.xml><?xml version="1.0" encoding="utf-8"?>
<cp:coreProperties xmlns:cp="http://schemas.openxmlformats.org/package/2006/metadata/core-properties" xmlns:dc="http://purl.org/dc/elements/1.1/" xmlns:dcterms="http://purl.org/dc/terms/" xmlns:xsi="http://www.w3.org/2001/XMLSchema-instance">
  <dc:creator>CN=赵龑/OU=动植物监管处/OU=天津出入境检疫检验局/O=TJJU</dc:creator>
  <cp:lastModifiedBy>苗鑫</cp:lastModifiedBy>
  <cp:revision>2</cp:revision>
  <dcterms:created xsi:type="dcterms:W3CDTF">2016-03-31T03:01:00Z</dcterms:created>
  <dcterms:modified xsi:type="dcterms:W3CDTF">2025-07-30T00:36:18Z</dcterms:modified>
</cp:coreProperties>
</file>