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黑体" w:eastAsia="黑体"/>
          <w:color w:val="auto"/>
          <w:sz w:val="36"/>
          <w:szCs w:val="36"/>
          <w:lang w:val="en-US" w:eastAsia="zh-CN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电子口岸制发卡业务办理指引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360" w:lineRule="auto"/>
        <w:jc w:val="center"/>
        <w:textAlignment w:val="auto"/>
        <w:rPr>
          <w:rFonts w:hint="eastAsia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五、维护业务</w:t>
      </w:r>
    </w:p>
    <w:p>
      <w:pPr>
        <w:spacing w:line="360" w:lineRule="auto"/>
        <w:ind w:firstLineChars="200" w:firstLine="480"/>
        <w:rPr>
          <w:rFonts w:ascii="宋体" w:eastAsia="宋体"/>
          <w:color w:val="auto"/>
          <w:sz w:val="24"/>
          <w:szCs w:val="24"/>
        </w:rPr>
      </w:pPr>
      <w:r>
        <w:rPr>
          <w:rFonts w:ascii="宋体" w:eastAsia="宋体" w:hint="eastAsia"/>
          <w:color w:val="auto"/>
          <w:sz w:val="24"/>
          <w:szCs w:val="24"/>
        </w:rPr>
        <w:t>证书延期：电子口岸卡证书在有效期内，可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向制卡机构申请</w:t>
      </w:r>
      <w:r>
        <w:rPr>
          <w:rFonts w:ascii="宋体" w:eastAsia="宋体" w:hint="eastAsia"/>
          <w:color w:val="auto"/>
          <w:sz w:val="24"/>
          <w:szCs w:val="24"/>
        </w:rPr>
        <w:t>证书延期</w:t>
      </w:r>
      <w:r>
        <w:rPr>
          <w:rFonts w:ascii="宋体" w:eastAsia="宋体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如</w:t>
      </w:r>
      <w:r>
        <w:rPr>
          <w:rFonts w:ascii="宋体" w:eastAsia="宋体" w:cs="仿宋"/>
          <w:bCs/>
          <w:color w:val="auto"/>
          <w:sz w:val="24"/>
          <w:szCs w:val="24"/>
        </w:rPr>
        <w:t>证书已过期需按补办业务进行</w:t>
      </w:r>
      <w:r>
        <w:rPr>
          <w:rFonts w:ascii="宋体" w:eastAsia="宋体" w:cs="仿宋" w:hint="eastAsia"/>
          <w:bCs/>
          <w:color w:val="auto"/>
          <w:sz w:val="24"/>
          <w:szCs w:val="24"/>
          <w:lang w:val="en-US" w:eastAsia="zh-CN"/>
        </w:rPr>
        <w:t>过</w:t>
      </w:r>
      <w:r>
        <w:rPr>
          <w:rFonts w:ascii="宋体" w:eastAsia="宋体" w:cs="仿宋"/>
          <w:bCs/>
          <w:color w:val="auto"/>
          <w:sz w:val="24"/>
          <w:szCs w:val="24"/>
        </w:rPr>
        <w:t>期补办</w:t>
      </w:r>
      <w:r>
        <w:rPr>
          <w:rFonts w:ascii="宋体" w:eastAsia="宋体" w:cs="仿宋" w:hint="eastAsia"/>
          <w:bCs/>
          <w:color w:val="auto"/>
          <w:sz w:val="24"/>
          <w:szCs w:val="24"/>
          <w:lang w:eastAsia="zh-CN"/>
        </w:rPr>
        <w:t>（</w:t>
      </w:r>
      <w:r>
        <w:rPr>
          <w:rFonts w:ascii="宋体" w:eastAsia="宋体" w:cs="仿宋" w:hint="eastAsia"/>
          <w:bCs/>
          <w:color w:val="auto"/>
          <w:sz w:val="24"/>
          <w:szCs w:val="24"/>
          <w:lang w:val="en-US" w:eastAsia="zh-CN"/>
        </w:rPr>
        <w:t>见“补办业务办理指引”</w:t>
      </w:r>
      <w:r>
        <w:rPr>
          <w:rFonts w:ascii="宋体" w:eastAsia="宋体" w:cs="仿宋" w:hint="eastAsia"/>
          <w:bCs/>
          <w:color w:val="auto"/>
          <w:sz w:val="24"/>
          <w:szCs w:val="24"/>
          <w:lang w:eastAsia="zh-CN"/>
        </w:rPr>
        <w:t>）</w:t>
      </w:r>
      <w:r>
        <w:rPr>
          <w:rFonts w:ascii="宋体" w:eastAsia="宋体" w:cs="仿宋"/>
          <w:bCs/>
          <w:color w:val="auto"/>
          <w:sz w:val="24"/>
          <w:szCs w:val="24"/>
        </w:rPr>
        <w:t>。</w:t>
      </w:r>
    </w:p>
    <w:p>
      <w:pPr>
        <w:spacing w:line="360" w:lineRule="auto"/>
        <w:ind w:firstLineChars="200" w:firstLine="480"/>
        <w:rPr>
          <w:rFonts w:ascii="宋体" w:eastAsia="宋体"/>
          <w:color w:val="auto"/>
          <w:sz w:val="24"/>
          <w:szCs w:val="24"/>
        </w:rPr>
      </w:pPr>
      <w:r>
        <w:rPr>
          <w:rFonts w:ascii="宋体" w:eastAsia="宋体" w:hint="eastAsia"/>
          <w:color w:val="auto"/>
          <w:sz w:val="24"/>
          <w:szCs w:val="24"/>
        </w:rPr>
        <w:t>解锁：电子口岸卡口令错误次数达到上限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被锁死</w:t>
      </w:r>
      <w:r>
        <w:rPr>
          <w:rFonts w:ascii="宋体" w:eastAsia="宋体" w:hint="eastAsia"/>
          <w:color w:val="auto"/>
          <w:sz w:val="24"/>
          <w:szCs w:val="24"/>
        </w:rPr>
        <w:t>，可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向制卡机构申请解锁</w:t>
      </w:r>
      <w:r>
        <w:rPr>
          <w:rFonts w:ascii="宋体" w:eastAsia="宋体" w:hint="eastAsia"/>
          <w:color w:val="auto"/>
          <w:sz w:val="24"/>
          <w:szCs w:val="24"/>
        </w:rPr>
        <w:t>。</w:t>
      </w:r>
    </w:p>
    <w:p>
      <w:pPr>
        <w:spacing w:line="360" w:lineRule="auto"/>
        <w:ind w:firstLineChars="200" w:firstLine="480"/>
        <w:rPr>
          <w:rFonts w:ascii="宋体" w:eastAsia="宋体"/>
          <w:color w:val="auto"/>
          <w:sz w:val="24"/>
          <w:szCs w:val="24"/>
        </w:rPr>
      </w:pPr>
      <w:r>
        <w:rPr>
          <w:rFonts w:ascii="宋体" w:eastAsia="宋体" w:hint="eastAsia"/>
          <w:color w:val="auto"/>
          <w:sz w:val="24"/>
          <w:szCs w:val="24"/>
        </w:rPr>
        <w:t>换卡：电子口岸卡介质损坏或其他情形需要更换卡介质，可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向制卡机构申请</w:t>
      </w:r>
      <w:r>
        <w:rPr>
          <w:rFonts w:ascii="宋体" w:eastAsia="宋体" w:hint="eastAsia"/>
          <w:color w:val="auto"/>
          <w:sz w:val="24"/>
          <w:szCs w:val="24"/>
        </w:rPr>
        <w:t>换卡。</w:t>
      </w:r>
    </w:p>
    <w:p>
      <w:pPr>
        <w:spacing w:line="360" w:lineRule="auto"/>
        <w:ind w:firstLineChars="200" w:firstLine="560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（一）维护业务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申请材料</w:t>
      </w:r>
    </w:p>
    <w:tbl>
      <w:tblPr>
        <w:jc w:val="center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7414"/>
      </w:tblGrid>
      <w:tr>
        <w:trPr>
          <w:trHeight w:val="1572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市场主体资格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775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默认为营业执照（副本），无营业执照的可提供事业单位法人证书、社会团体法人登记证书等其他证明主体资质的材料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空白处签注“同意办理电子口岸制发卡业务”、法定代表人（负责人）签名和申请日期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</w:tc>
      </w:tr>
      <w:tr>
        <w:trPr>
          <w:trHeight w:val="1556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法定代表人身份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3775" w:type="pct"/>
            <w:vMerge w:val="restar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复印件均加盖申请单位公章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空白处签注“同意使用本人信息办理电子口岸制发卡业务”、个人签名和签字日期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如提供材料中包含外文材料（包括外籍人员护照、使用外文书写的声明等），需同时提交中文翻译材料（加盖翻译专用章或申请单位公章）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rPr>
          <w:trHeight w:val="1556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</w:t>
            </w:r>
          </w:p>
        </w:tc>
        <w:tc>
          <w:tcPr>
            <w:tcW w:w="3775" w:type="pct"/>
            <w:vMerge/>
          </w:tcPr>
          <w:p/>
        </w:tc>
      </w:tr>
      <w:tr>
        <w:trPr>
          <w:trHeight w:val="803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775" w:type="pct"/>
            <w:vMerge/>
          </w:tcPr>
          <w:p/>
        </w:tc>
      </w:tr>
      <w:tr>
        <w:trPr>
          <w:trHeight w:val="274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775" w:type="pct"/>
            <w:vAlign w:val="center"/>
          </w:tcPr>
          <w:p>
            <w:pPr>
              <w:spacing w:line="360" w:lineRule="auto"/>
              <w:jc w:val="both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仅线下办理需提供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rPr>
          <w:trHeight w:val="90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需维护的电子口岸卡</w:t>
            </w:r>
          </w:p>
        </w:tc>
        <w:tc>
          <w:tcPr>
            <w:tcW w:w="3775" w:type="pct"/>
            <w:vAlign w:val="center"/>
          </w:tcPr>
          <w:p>
            <w:pPr>
              <w:spacing w:line="360" w:lineRule="auto"/>
              <w:jc w:val="both"/>
              <w:rPr>
                <w:rFonts w:ascii="宋体" w:eastAsia="宋体" w:hint="eastAsia"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（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线下办理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  <w:lang w:val="en-US" w:eastAsia="zh-CN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经办人携带申请材料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就近选择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eastAsia="zh-CN"/>
        </w:rPr>
        <w:t>、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各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合作制卡代理点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均可办理。</w:t>
      </w:r>
    </w:p>
    <w:p>
      <w:pPr>
        <w:spacing w:line="360" w:lineRule="auto"/>
        <w:ind w:firstLineChars="200" w:firstLine="560"/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highlight w:val="auto"/>
        </w:rPr>
        <w:t>（三）线上自助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  <w:highlight w:val="auto"/>
        </w:rPr>
        <w:t>操作</w:t>
      </w:r>
    </w:p>
    <w:p>
      <w:pPr>
        <w:pStyle w:val="68"/>
        <w:spacing w:line="360" w:lineRule="auto"/>
        <w:ind w:firstLineChars="200" w:firstLine="480"/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</w:pPr>
      <w:r>
        <w:rPr>
          <w:rFonts w:ascii="宋体" w:eastAsia="宋体" w:cs="仿宋" w:hint="eastAsia"/>
          <w:bCs/>
          <w:color w:val="auto"/>
          <w:sz w:val="24"/>
          <w:szCs w:val="24"/>
          <w:highlight w:val="auto"/>
        </w:rPr>
        <w:t>仅适用于法人卡、操作员卡证书在有效期内</w:t>
      </w:r>
      <w:r>
        <w:rPr>
          <w:rFonts w:ascii="宋体" w:eastAsia="宋体" w:cs="仿宋"/>
          <w:bCs/>
          <w:color w:val="auto"/>
          <w:sz w:val="24"/>
          <w:szCs w:val="24"/>
          <w:highlight w:val="auto"/>
        </w:rPr>
        <w:t>，</w:t>
      </w:r>
      <w:r>
        <w:rPr>
          <w:rFonts w:ascii="宋体" w:eastAsia="宋体" w:cs="仿宋" w:hint="eastAsia"/>
          <w:bCs/>
          <w:color w:val="auto"/>
          <w:sz w:val="24"/>
          <w:szCs w:val="24"/>
          <w:lang w:val="en-US" w:eastAsia="zh-CN"/>
          <w:highlight w:val="auto"/>
        </w:rPr>
        <w:t>线上自助操作进行法人卡证书延期、操作员卡</w:t>
      </w:r>
      <w:r>
        <w:rPr>
          <w:rFonts w:ascii="宋体" w:eastAsia="宋体" w:cs="仿宋"/>
          <w:bCs/>
          <w:color w:val="auto"/>
          <w:sz w:val="24"/>
          <w:szCs w:val="24"/>
          <w:highlight w:val="auto"/>
        </w:rPr>
        <w:t>证书延期</w:t>
      </w:r>
      <w:r>
        <w:rPr>
          <w:rFonts w:ascii="宋体" w:eastAsia="宋体" w:cs="仿宋" w:hint="eastAsia"/>
          <w:bCs/>
          <w:color w:val="auto"/>
          <w:sz w:val="24"/>
          <w:szCs w:val="24"/>
          <w:lang w:val="en-US" w:eastAsia="zh-CN"/>
          <w:highlight w:val="auto"/>
        </w:rPr>
        <w:t>及解锁。</w:t>
      </w:r>
      <w:r>
        <w:rPr>
          <w:rFonts w:ascii="宋体" w:eastAsia="宋体" w:cs="仿宋"/>
          <w:bCs/>
          <w:color w:val="auto"/>
          <w:sz w:val="24"/>
          <w:szCs w:val="24"/>
          <w:highlight w:val="auto"/>
        </w:rPr>
        <w:t>法人卡解锁</w:t>
      </w:r>
      <w:r>
        <w:rPr>
          <w:rFonts w:ascii="宋体" w:eastAsia="宋体" w:cs="仿宋" w:hint="eastAsia"/>
          <w:bCs/>
          <w:color w:val="auto"/>
          <w:sz w:val="24"/>
          <w:szCs w:val="24"/>
          <w:lang w:val="en-US" w:eastAsia="zh-CN"/>
          <w:highlight w:val="auto"/>
        </w:rPr>
        <w:t>及已过期的电子口岸卡维护</w:t>
      </w:r>
      <w:r>
        <w:rPr>
          <w:rFonts w:ascii="宋体" w:eastAsia="宋体" w:cs="仿宋"/>
          <w:bCs/>
          <w:color w:val="auto"/>
          <w:sz w:val="24"/>
          <w:szCs w:val="24"/>
          <w:highlight w:val="auto"/>
        </w:rPr>
        <w:t>需前往线下办理。</w:t>
      </w:r>
    </w:p>
    <w:p>
      <w:pPr>
        <w:pStyle w:val="68"/>
        <w:spacing w:line="360" w:lineRule="auto"/>
        <w:ind w:left="0" w:firstLineChars="200" w:firstLine="480"/>
        <w:rPr>
          <w:rStyle w:val="31"/>
          <w:rFonts w:ascii="宋体" w:eastAsia="宋体" w:cs="仿宋"/>
          <w:color w:val="auto"/>
          <w:sz w:val="24"/>
          <w:szCs w:val="24"/>
          <w:highlight w:val="auto"/>
        </w:rPr>
      </w:pP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1.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使用法人卡登录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  <w:highlight w:val="auto"/>
        </w:rPr>
        <w:t>“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制发卡及数字证书服务系统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  <w:highlight w:val="auto"/>
        </w:rPr>
        <w:t>”。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系统登录及操作手册：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https://e.chinaport.gov.cn</w:t>
      </w:r>
      <w:bookmarkStart w:id="0" w:name="_GoBack"/>
      <w:bookmarkEnd w:id="0"/>
    </w:p>
    <w:p>
      <w:pPr>
        <w:pStyle w:val="68"/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  <w:highlight w:val="auto"/>
        </w:rPr>
      </w:pP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2.法人卡证书延期：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进入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“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卡介质管理-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法人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卡自更新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”，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点击“证书延期”按钮，按照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系统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提示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对法人卡进行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自助操作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。</w:t>
      </w:r>
    </w:p>
    <w:p>
      <w:pPr>
        <w:pStyle w:val="68"/>
        <w:spacing w:line="360" w:lineRule="auto"/>
        <w:ind w:firstLineChars="200" w:firstLine="480"/>
        <w:rPr>
          <w:rFonts w:ascii="宋体" w:eastAsia="宋体" w:cs="仿宋" w:hint="eastAsia"/>
          <w:color w:val="auto"/>
          <w:sz w:val="24"/>
          <w:szCs w:val="24"/>
          <w:lang w:eastAsia="zh-CN"/>
          <w:highlight w:val="auto"/>
        </w:rPr>
      </w:pP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3.操作员卡解锁或证书延期：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进入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“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卡介质管理-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操作员卡管理”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  <w:highlight w:val="auto"/>
        </w:rPr>
        <w:t>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选择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“操作员卡管理列表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-更多维护操作</w:t>
      </w:r>
      <w:r>
        <w:rPr>
          <w:rFonts w:ascii="宋体" w:eastAsia="宋体" w:cs="仿宋" w:hint="eastAsia"/>
          <w:color w:val="auto"/>
          <w:sz w:val="24"/>
          <w:szCs w:val="24"/>
          <w:highlight w:val="auto"/>
        </w:rPr>
        <w:t>”，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点击“解锁”或“证书延期”按钮，按照</w:t>
      </w:r>
      <w:r>
        <w:rPr>
          <w:rFonts w:ascii="宋体" w:eastAsia="宋体" w:cs="仿宋"/>
          <w:color w:val="auto"/>
          <w:sz w:val="24"/>
          <w:szCs w:val="24"/>
          <w:highlight w:val="auto"/>
        </w:rPr>
        <w:t>系统提示对操作员卡进行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  <w:highlight w:val="auto"/>
        </w:rPr>
        <w:t>自助操作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（四）线下办理及领卡地址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天津数据分中心制卡窗口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地址：天津市滨海新区跃进路1号航运服务中心二楼电子口岸窗口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办理时间：工作日9:00-12:00，13:30-16:40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客服热线：022-85194004</w:t>
      </w:r>
    </w:p>
    <w:p>
      <w:pPr>
        <w:spacing w:line="360" w:lineRule="auto"/>
        <w:ind w:firstLineChars="200" w:firstLine="480"/>
        <w:rPr>
          <w:rFonts w:ascii="宋体" w:eastAsia="宋体" w:cs="Times New Roman" w:hint="eastAsia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咨询时间：工作日8:30-11:30，13:30-17:00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合作制卡代理点</w:t>
      </w:r>
    </w:p>
    <w:tbl>
      <w:tblPr>
        <w:jc w:val="center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146"/>
        <w:gridCol w:w="5446"/>
        <w:gridCol w:w="1715"/>
      </w:tblGrid>
      <w:tr>
        <w:tc>
          <w:tcPr>
            <w:tcW w:w="13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代理点名称</w:t>
            </w:r>
          </w:p>
        </w:tc>
        <w:tc>
          <w:tcPr>
            <w:tcW w:w="2769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70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咨询电话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建行天津南开支行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天津市南开区鞍山西道278,280,282,284号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022-27490442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建行天津开发分行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天津经济技术开发区广场东路20号滨海金融街E3AB1-4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022-66280956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建行天津塘沽支行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天津经济技术开发区黄海路一号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022-25292406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建行天津河西支行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天津市河西区气象台路48号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022-23371237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建行天津华鼎智地支行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天津滨海高新区华苑产业区海泰华科三路1号1号楼-1-103/104/105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022-23770605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建行天津滨海临空支行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天津自贸试验区（空港经济区）西二道82号增6、7、8号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022-24866026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022-22435852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建行天津武清支行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天津市武清区杨村新华路西雍阳西道北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022-29380930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建行天津红桥支行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天津市红桥区勤俭道86、193号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022-26543196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建行天津北辰支行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天津市北辰区京津公路354号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022-26397304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022-26390255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建行天津分行营业部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天津市河西区南京路19号增1号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022-58750474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建行天津东丽支行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天津市东丽区先锋路27号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022-24950204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建行天津大港支行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天津市滨海新区大港迎宾街98号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022-25994780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建行天津河东支行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天津市河东区津塘路1号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022-24213029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天津市河北区平安街68号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022-24200929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建行天津津南支行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天津市津南区咸水沽镇津沽路178号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022-88919974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建行天津汉沽支行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天津市滨海新区寨上街新开中路88号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022-25692242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建行天津宁河支行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天津市宁河区芦台镇光明路45号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022-69114019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022-69592062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建行天津蓟州支行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天津市蓟州区人民东路1号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022-29192740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建行天津宝坻支行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天津市宝坻区建设路110号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022-29241150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022-29242340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建行天津静海支行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天津市静海区静文路5号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022-68921836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建行天津和平支行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天津市和平区解放北路104号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022-58751367</w:t>
            </w:r>
          </w:p>
        </w:tc>
      </w:tr>
      <w:tr>
        <w:tc>
          <w:tcPr>
            <w:tcW w:w="5000" w:type="pct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color w:val="auto"/>
                <w:kern w:val="0"/>
                <w:sz w:val="24"/>
                <w:szCs w:val="24"/>
              </w:rPr>
              <w:t>注：办理时间以各代理点对外公布为准。</w:t>
            </w:r>
          </w:p>
        </w:tc>
      </w:tr>
    </w:tbl>
    <w:p>
      <w:pPr>
        <w:pStyle w:val="47"/>
        <w:adjustRightInd w:val="0"/>
        <w:snapToGrid w:val="0"/>
        <w:spacing w:line="360" w:lineRule="exact"/>
        <w:rPr>
          <w:color w:val="auto"/>
          <w:szCs w:val="21"/>
        </w:rPr>
      </w:pPr>
    </w:p>
    <w:sectPr>
      <w:footerReference w:type="default" r:id="rId2"/>
      <w:pgSz w:w="11907" w:h="16839"/>
      <w:pgMar w:top="1134" w:right="1134" w:bottom="1134" w:left="1134" w:header="1418" w:footer="851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Arial Unicode MS"/>
    <w:panose1 w:val="02010600030101010101"/>
    <w:charset w:val="86"/>
    <w:family w:val="roman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roman"/>
    <w:pitch w:val="variable"/>
    <w:sig w:usb0="00000001" w:usb1="080E0000" w:usb2="00000000" w:usb3="00000000" w:csb0="00040000" w:csb1="00000000"/>
  </w:font>
  <w:font w:name="Microsoft YaHei U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2"/>
      <w:jc w:val="center"/>
      <w:rPr>
        <w:rStyle w:val="30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OTYwYzJhZjA3MmMyYzJhOWQ0MDAwNzUyOWRlODY5Y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16">
    <w:name w:val="annotation text"/>
    <w:basedOn w:val="0"/>
    <w:pPr>
      <w:jc w:val="left"/>
    </w:pPr>
  </w:style>
  <w:style w:type="paragraph" w:styleId="17">
    <w:name w:val="toc 1"/>
    <w:next w:val="0"/>
    <w:pPr>
      <w:widowControl w:val="0"/>
      <w:tabs>
        <w:tab w:val="right" w:leader="dot" w:pos="9345"/>
      </w:tabs>
      <w:spacing w:before="120" w:after="120"/>
      <w:jc w:val="both"/>
    </w:pPr>
    <w:rPr>
      <w:rFonts w:ascii="Times New Roman" w:eastAsia="宋体" w:cs="Times New Roman" w:hAnsi="Times New Roman"/>
      <w:b/>
      <w:caps/>
      <w:smallCaps w:val="0"/>
      <w:kern w:val="2"/>
      <w:sz w:val="21"/>
      <w:lang w:val="en-US" w:eastAsia="zh-CN" w:bidi="ar-SA"/>
    </w:rPr>
  </w:style>
  <w:style w:type="paragraph" w:styleId="18">
    <w:name w:val="toc 2"/>
    <w:basedOn w:val="17"/>
    <w:next w:val="0"/>
    <w:pPr>
      <w:tabs>
        <w:tab w:val="right" w:leader="dot" w:pos="9345"/>
      </w:tabs>
      <w:spacing w:before="0" w:after="0"/>
    </w:pPr>
    <w:rPr>
      <w:b w:val="0"/>
      <w:caps w:val="0"/>
      <w:smallCaps/>
    </w:rPr>
  </w:style>
  <w:style w:type="paragraph" w:styleId="19">
    <w:name w:val="toc 3"/>
    <w:basedOn w:val="18"/>
    <w:next w:val="0"/>
    <w:pPr>
      <w:tabs>
        <w:tab w:val="right" w:leader="dot" w:pos="9345"/>
      </w:tabs>
    </w:pPr>
    <w:rPr>
      <w:i/>
    </w:rPr>
  </w:style>
  <w:style w:type="paragraph" w:styleId="20">
    <w:name w:val="toc 4"/>
    <w:basedOn w:val="19"/>
    <w:next w:val="0"/>
    <w:pPr>
      <w:tabs>
        <w:tab w:val="right" w:leader="dot" w:pos="9345"/>
      </w:tabs>
    </w:pPr>
    <w:rPr>
      <w:i w:val="0"/>
    </w:rPr>
  </w:style>
  <w:style w:type="paragraph" w:styleId="21">
    <w:name w:val="toc 5"/>
    <w:basedOn w:val="20"/>
    <w:next w:val="0"/>
    <w:pPr>
      <w:tabs>
        <w:tab w:val="right" w:leader="dot" w:pos="9345"/>
      </w:tabs>
    </w:pPr>
  </w:style>
  <w:style w:type="paragraph" w:styleId="22">
    <w:name w:val="Balloon Text"/>
    <w:basedOn w:val="0"/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6"/>
    <w:basedOn w:val="21"/>
    <w:next w:val="0"/>
    <w:pPr>
      <w:tabs>
        <w:tab w:val="right" w:leader="dot" w:pos="9345"/>
      </w:tabs>
    </w:pPr>
  </w:style>
  <w:style w:type="paragraph" w:styleId="26">
    <w:name w:val="table of figures"/>
    <w:basedOn w:val="0"/>
    <w:next w:val="0"/>
    <w:pPr>
      <w:ind w:leftChars="200" w:left="400" w:hangingChars="200" w:hanging="200"/>
    </w:pPr>
  </w:style>
  <w:style w:type="paragraph" w:styleId="27">
    <w:name w:val="toc 9"/>
    <w:basedOn w:val="0"/>
    <w:next w:val="0"/>
    <w:pPr>
      <w:ind w:leftChars="1600" w:left="1600"/>
    </w:pPr>
  </w:style>
  <w:style w:type="paragraph" w:styleId="2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29">
    <w:name w:val="Strong"/>
    <w:basedOn w:val="10"/>
    <w:rPr>
      <w:b/>
      <w:bCs/>
    </w:rPr>
  </w:style>
  <w:style w:type="character" w:styleId="30">
    <w:name w:val="page number"/>
    <w:rPr>
      <w:rFonts w:ascii="Times New Roman" w:eastAsia="宋体" w:hAnsi="Times New Roman"/>
      <w:sz w:val="18"/>
    </w:rPr>
  </w:style>
  <w:style w:type="character" w:styleId="31">
    <w:name w:val="Hyperlink"/>
    <w:basedOn w:val="10"/>
    <w:rPr>
      <w:color w:val="0000FF"/>
      <w:u w:val="single"/>
    </w:rPr>
  </w:style>
  <w:style w:type="character" w:styleId="32">
    <w:name w:val="annotation reference"/>
    <w:basedOn w:val="10"/>
    <w:rPr>
      <w:sz w:val="21"/>
      <w:szCs w:val="21"/>
    </w:rPr>
  </w:style>
  <w:style w:type="paragraph" w:customStyle="1" w:styleId="33">
    <w:name w:val="样式 59 10 磅"/>
    <w:next w:val="15"/>
    <w:pPr>
      <w:widowControl w:val="0"/>
      <w:jc w:val="both"/>
    </w:pPr>
    <w:rPr>
      <w:rFonts w:ascii="Times New Roman" w:eastAsia="仿宋_GB2312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修订1"/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pf0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36">
    <w:name w:val="cf01"/>
    <w:basedOn w:val="10"/>
    <w:rPr>
      <w:rFonts w:ascii="Microsoft YaHei UI" w:eastAsia="Microsoft YaHei UI" w:hAnsi="Microsoft YaHei UI"/>
      <w:sz w:val="18"/>
      <w:szCs w:val="18"/>
    </w:rPr>
  </w:style>
  <w:style w:type="character" w:customStyle="1" w:styleId="37">
    <w:name w:val="font01"/>
    <w:basedOn w:val="10"/>
    <w:rPr>
      <w:rFonts w:ascii="宋体" w:eastAsia="宋体" w:cs="宋体"/>
      <w:color w:val="333333"/>
      <w:sz w:val="26"/>
      <w:szCs w:val="26"/>
      <w:u w:val="none"/>
    </w:rPr>
  </w:style>
  <w:style w:type="paragraph" w:customStyle="1" w:styleId="38">
    <w:name w:val="样式 12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39">
    <w:name w:val="样式 3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0">
    <w:name w:val="样式 4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1">
    <w:name w:val="样式 5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2">
    <w:name w:val="List Paragraph"/>
    <w:basedOn w:val="0"/>
    <w:pPr>
      <w:ind w:firstLineChars="200" w:firstLine="200"/>
    </w:pPr>
  </w:style>
  <w:style w:type="paragraph" w:customStyle="1" w:styleId="43">
    <w:name w:val="样式 16 10 磅"/>
    <w:next w:val="25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4">
    <w:name w:val="样式 8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5">
    <w:name w:val="样式 1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47">
    <w:name w:val="样式 1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8">
    <w:name w:val="样式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49">
    <w:name w:val="样式 19 10 磅"/>
    <w:next w:val="26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0">
    <w:name w:val="样式 20 10 磅"/>
    <w:next w:val="27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1">
    <w:name w:val="样式 2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52">
    <w:name w:val="标准书脚_奇数页"/>
    <w:pPr>
      <w:spacing w:before="120"/>
      <w:jc w:val="right"/>
    </w:pPr>
    <w:rPr>
      <w:rFonts w:ascii="Times New Roman" w:eastAsia="宋体" w:cs="Times New Roman" w:hAnsi="Times New Roman"/>
      <w:sz w:val="18"/>
      <w:lang w:val="en-US" w:eastAsia="zh-CN" w:bidi="ar-SA"/>
    </w:rPr>
  </w:style>
  <w:style w:type="paragraph" w:customStyle="1" w:styleId="5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3</Pages>
  <Words>1543</Words>
  <Characters>1965</Characters>
  <Lines>151</Lines>
  <Paragraphs>126</Paragraphs>
  <CharactersWithSpaces>1965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359290989@qq.com</dc:creator>
  <cp:lastModifiedBy>吕哲楠</cp:lastModifiedBy>
  <cp:revision>32</cp:revision>
  <dcterms:created xsi:type="dcterms:W3CDTF">2023-12-21T07:10:00Z</dcterms:created>
  <dcterms:modified xsi:type="dcterms:W3CDTF">2026-07-07T07:58:04Z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B86D68E036D84496917758E608E0A07A_13</vt:lpwstr>
  </property>
</Properties>
</file>