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auto"/>
        <w:jc w:val="center"/>
        <w:rPr>
          <w:rFonts w:ascii="黑体" w:eastAsia="黑体"/>
          <w:color w:val="auto"/>
          <w:sz w:val="36"/>
          <w:szCs w:val="36"/>
          <w:lang w:val="en-US" w:eastAsia="zh-CN"/>
        </w:rPr>
      </w:pPr>
      <w:r>
        <w:rPr>
          <w:rFonts w:ascii="黑体" w:eastAsia="黑体" w:hint="eastAsia"/>
          <w:color w:val="auto"/>
          <w:sz w:val="36"/>
          <w:szCs w:val="36"/>
          <w:lang w:val="en-US" w:eastAsia="zh-CN"/>
        </w:rPr>
        <w:t>电子口岸制发卡业务办理指引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="156" w:afterLines="50" w:after="156" w:line="360" w:lineRule="auto"/>
        <w:jc w:val="center"/>
        <w:textAlignment w:val="auto"/>
        <w:rPr>
          <w:rFonts w:hint="eastAsia"/>
        </w:rPr>
      </w:pPr>
      <w:r>
        <w:rPr>
          <w:rFonts w:ascii="黑体" w:eastAsia="黑体" w:hint="eastAsia"/>
          <w:color w:val="auto"/>
          <w:sz w:val="36"/>
          <w:szCs w:val="36"/>
          <w:lang w:val="en-US" w:eastAsia="zh-CN"/>
        </w:rPr>
        <w:t>一、新办业务</w:t>
      </w:r>
    </w:p>
    <w:p>
      <w:pPr>
        <w:spacing w:line="360" w:lineRule="auto"/>
        <w:ind w:firstLineChars="200" w:firstLine="480"/>
        <w:rPr>
          <w:rFonts w:ascii="宋体" w:eastAsia="宋体"/>
          <w:color w:val="auto"/>
          <w:sz w:val="24"/>
          <w:szCs w:val="24"/>
        </w:rPr>
      </w:pPr>
      <w:r>
        <w:rPr>
          <w:rFonts w:ascii="宋体" w:eastAsia="宋体" w:hint="eastAsia"/>
          <w:color w:val="auto"/>
          <w:sz w:val="24"/>
          <w:szCs w:val="24"/>
        </w:rPr>
        <w:t>在电子口岸系统中未办理过电子口岸卡的，可以申请新办电子口岸卡</w:t>
      </w:r>
      <w:r>
        <w:rPr>
          <w:rFonts w:ascii="宋体" w:eastAsia="宋体" w:hint="eastAsia"/>
          <w:color w:val="auto"/>
          <w:sz w:val="24"/>
          <w:szCs w:val="24"/>
          <w:lang w:eastAsia="zh-CN"/>
        </w:rPr>
        <w:t>。</w:t>
      </w:r>
      <w:r>
        <w:rPr>
          <w:rFonts w:ascii="宋体" w:eastAsia="宋体" w:hint="eastAsia"/>
          <w:color w:val="auto"/>
          <w:sz w:val="24"/>
          <w:szCs w:val="24"/>
        </w:rPr>
        <w:t>同一申请单位内</w:t>
      </w:r>
      <w:r>
        <w:rPr>
          <w:rFonts w:ascii="宋体" w:eastAsia="宋体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hint="eastAsia"/>
          <w:color w:val="auto"/>
          <w:sz w:val="24"/>
          <w:szCs w:val="24"/>
        </w:rPr>
        <w:t>同一人仅可办理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一</w:t>
      </w:r>
      <w:r>
        <w:rPr>
          <w:rFonts w:ascii="宋体" w:eastAsia="宋体" w:hint="eastAsia"/>
          <w:color w:val="auto"/>
          <w:sz w:val="24"/>
          <w:szCs w:val="24"/>
        </w:rPr>
        <w:t>个电子口岸卡</w:t>
      </w:r>
      <w:r>
        <w:rPr>
          <w:rFonts w:ascii="宋体" w:eastAsia="宋体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法定代表人（负责人）仅可办理法人卡</w:t>
      </w:r>
      <w:r>
        <w:rPr>
          <w:rFonts w:ascii="宋体" w:eastAsia="宋体" w:hint="eastAsia"/>
          <w:color w:val="auto"/>
          <w:sz w:val="24"/>
          <w:szCs w:val="24"/>
          <w:lang w:eastAsia="zh-CN"/>
        </w:rPr>
        <w:t>。</w:t>
      </w:r>
      <w:r>
        <w:rPr>
          <w:rFonts w:ascii="宋体" w:eastAsia="宋体" w:hint="eastAsia"/>
          <w:color w:val="auto"/>
          <w:sz w:val="24"/>
          <w:szCs w:val="24"/>
        </w:rPr>
        <w:t>新办法人卡和首个操作员卡免费，额外新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办</w:t>
      </w:r>
      <w:r>
        <w:rPr>
          <w:rFonts w:ascii="宋体" w:eastAsia="宋体" w:hint="eastAsia"/>
          <w:color w:val="auto"/>
          <w:sz w:val="24"/>
          <w:szCs w:val="24"/>
        </w:rPr>
        <w:t>操作员卡需在现场领卡时通过供应商小程序</w:t>
      </w:r>
      <w:r>
        <w:rPr>
          <w:rFonts w:ascii="宋体" w:eastAsia="宋体" w:hint="eastAsia"/>
          <w:color w:val="auto"/>
          <w:sz w:val="24"/>
          <w:szCs w:val="24"/>
          <w:lang w:val="en-US" w:eastAsia="zh-CN"/>
        </w:rPr>
        <w:t>自费购买卡介质</w:t>
      </w:r>
      <w:r>
        <w:rPr>
          <w:rFonts w:ascii="宋体" w:eastAsia="宋体" w:hint="eastAsia"/>
          <w:color w:val="auto"/>
          <w:sz w:val="24"/>
          <w:szCs w:val="24"/>
        </w:rPr>
        <w:t>。</w:t>
      </w:r>
    </w:p>
    <w:p>
      <w:pPr>
        <w:spacing w:line="360" w:lineRule="auto"/>
        <w:ind w:firstLineChars="200" w:firstLine="480"/>
        <w:rPr>
          <w:rFonts w:ascii="宋体" w:eastAsia="宋体" w:hint="eastAsia"/>
          <w:b/>
          <w:bCs/>
          <w:color w:val="FF0000"/>
          <w:sz w:val="24"/>
          <w:szCs w:val="24"/>
        </w:rPr>
      </w:pPr>
      <w:r>
        <w:rPr>
          <w:rFonts w:ascii="宋体" w:eastAsia="宋体"/>
          <w:b/>
          <w:bCs/>
          <w:color w:val="FF0000"/>
          <w:sz w:val="24"/>
          <w:szCs w:val="24"/>
        </w:rPr>
        <w:t>提交新办业务申请后，对于持居民身份证的法定代表人、操作员及经办人，须于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2</w:t>
      </w:r>
      <w:r>
        <w:rPr>
          <w:rFonts w:ascii="宋体" w:eastAsia="宋体"/>
          <w:b/>
          <w:bCs/>
          <w:color w:val="FF0000"/>
          <w:sz w:val="24"/>
          <w:szCs w:val="24"/>
        </w:rPr>
        <w:t>个工作日内完成人脸核验，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操作指引详见中国电子口岸</w:t>
      </w:r>
      <w:r>
        <w:rPr>
          <w:rFonts w:ascii="宋体" w:eastAsia="宋体" w:cs="仿宋"/>
          <w:b/>
          <w:bCs/>
          <w:color w:val="FF0000"/>
          <w:sz w:val="24"/>
          <w:szCs w:val="24"/>
          <w:lang w:val="en-US" w:eastAsia="zh-CN"/>
        </w:rPr>
        <w:t>(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https://www.chinaport.gov.cn</w:t>
      </w:r>
      <w:r>
        <w:rPr>
          <w:rFonts w:ascii="宋体" w:eastAsia="宋体" w:cs="仿宋"/>
          <w:b/>
          <w:bCs/>
          <w:color w:val="FF0000"/>
          <w:sz w:val="24"/>
          <w:szCs w:val="24"/>
          <w:lang w:val="en-US" w:eastAsia="zh-CN"/>
        </w:rPr>
        <w:t>)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-客服专区-常见问题-</w:t>
      </w:r>
      <w:r>
        <w:rPr>
          <w:rFonts w:ascii="宋体" w:eastAsia="宋体" w:cs="仿宋"/>
          <w:b/>
          <w:bCs/>
          <w:color w:val="FF0000"/>
          <w:sz w:val="24"/>
          <w:szCs w:val="24"/>
          <w:lang w:val="en-US" w:eastAsia="zh-CN"/>
        </w:rPr>
        <w:t>电子口岸制发卡业务人脸核验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操作指引。</w:t>
      </w:r>
      <w:bookmarkStart w:id="0" w:name="_GoBack"/>
      <w:bookmarkEnd w:id="0"/>
    </w:p>
    <w:p>
      <w:pPr>
        <w:spacing w:line="360" w:lineRule="auto"/>
        <w:ind w:firstLineChars="200" w:firstLine="560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（一）新办业务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申请材料</w:t>
      </w:r>
    </w:p>
    <w:tbl>
      <w:tblPr>
        <w:jc w:val="center"/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7414"/>
      </w:tblGrid>
      <w:tr>
        <w:trPr>
          <w:trHeight w:val="2030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市场主体资格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证明材料</w:t>
            </w:r>
          </w:p>
        </w:tc>
        <w:tc>
          <w:tcPr>
            <w:tcW w:w="3775" w:type="pc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默认为营业执照（副本），无营业执照的可提供事业单位法人证书、社会团体法人登记证书等其他证明主体资质的材料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加盖申请单位公章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空白处签注“同意办理电子口岸制发卡业务”、法定代表人（负责人）签名和申请日期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。（公章和三处签注缺一不可）</w:t>
            </w:r>
          </w:p>
        </w:tc>
      </w:tr>
      <w:tr>
        <w:trPr>
          <w:trHeight w:val="1556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法定代表人身份</w:t>
            </w:r>
          </w:p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证明材料</w:t>
            </w:r>
          </w:p>
        </w:tc>
        <w:tc>
          <w:tcPr>
            <w:tcW w:w="3775" w:type="pct"/>
            <w:vMerge w:val="restart"/>
          </w:tcPr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默认为中华人民共和国居民身份证，无居民身份证的，可以使用护照、台湾居民来往大陆通行证、港澳居民来往内地通行证或外国人永久居留身份证办理。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复印件均加盖申请单位公章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ascii="宋体" w:eastAsia="宋体" w:hint="eastAsia"/>
                <w:b/>
                <w:bCs/>
                <w:color w:val="FF0000"/>
                <w:sz w:val="24"/>
                <w:szCs w:val="24"/>
              </w:rPr>
              <w:t>空白处签注“同意使用本人信息办理电子口岸制发卡业务”、个人签名和签字日期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。（公章和三处签注缺一不可）</w:t>
            </w:r>
          </w:p>
          <w:p>
            <w:pPr>
              <w:spacing w:line="360" w:lineRule="auto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如提供材料中包含外文材料（包括外籍人员护照、使用外文书写的声明等），需同时提交中文翻译材料（加盖翻译专用章或申请单位公章）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>
        <w:trPr>
          <w:trHeight w:val="1556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操作员卡持卡人身份证明材料</w:t>
            </w:r>
          </w:p>
        </w:tc>
        <w:tc>
          <w:tcPr>
            <w:tcW w:w="3775" w:type="pct"/>
            <w:vMerge/>
          </w:tcPr>
          <w:p/>
        </w:tc>
      </w:tr>
      <w:tr>
        <w:trPr>
          <w:trHeight w:val="1238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经办人身份证明材料</w:t>
            </w:r>
          </w:p>
        </w:tc>
        <w:tc>
          <w:tcPr>
            <w:tcW w:w="3775" w:type="pct"/>
            <w:vMerge/>
          </w:tcPr>
          <w:p/>
        </w:tc>
      </w:tr>
      <w:tr>
        <w:trPr>
          <w:trHeight w:val="209"/>
        </w:trPr>
        <w:tc>
          <w:tcPr>
            <w:tcW w:w="1224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b w:val="0"/>
                <w:bCs w:val="0"/>
                <w:color w:val="auto"/>
                <w:sz w:val="24"/>
                <w:szCs w:val="24"/>
              </w:rPr>
              <w:t>电子口岸制发卡业务申请书</w:t>
            </w:r>
          </w:p>
        </w:tc>
        <w:tc>
          <w:tcPr>
            <w:tcW w:w="3775" w:type="pct"/>
            <w:vAlign w:val="center"/>
          </w:tcPr>
          <w:p>
            <w:pPr>
              <w:spacing w:line="360" w:lineRule="auto"/>
              <w:jc w:val="both"/>
              <w:rPr>
                <w:rFonts w:ascii="宋体" w:eastAsia="宋体"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eastAsia="宋体" w:hint="eastAsia"/>
                <w:color w:val="auto"/>
                <w:sz w:val="24"/>
                <w:szCs w:val="24"/>
              </w:rPr>
              <w:t>仅线下办理需提供</w:t>
            </w:r>
            <w:r>
              <w:rPr>
                <w:rFonts w:ascii="宋体" w:eastAsia="宋体" w:hint="eastAsia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  <w:t>（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ascii="宋体" w:eastAsia="宋体" w:cs="黑体" w:hint="eastAsia"/>
          <w:b/>
          <w:bCs/>
          <w:color w:val="auto"/>
          <w:sz w:val="28"/>
          <w:szCs w:val="28"/>
          <w:lang w:eastAsia="zh-CN"/>
        </w:rPr>
        <w:t>）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线下办理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  <w:lang w:val="en-US" w:eastAsia="zh-CN"/>
        </w:rPr>
      </w:pPr>
      <w:r>
        <w:rPr>
          <w:rFonts w:ascii="宋体" w:eastAsia="宋体" w:cs="仿宋" w:hint="eastAsia"/>
          <w:color w:val="auto"/>
          <w:sz w:val="24"/>
          <w:szCs w:val="24"/>
        </w:rPr>
        <w:t>经办人携带申请材料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就近选择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天津数据分中心</w:t>
      </w:r>
      <w:r>
        <w:rPr>
          <w:rFonts w:ascii="宋体" w:eastAsia="宋体" w:cs="仿宋"/>
          <w:b/>
          <w:bCs/>
          <w:color w:val="FF0000"/>
          <w:sz w:val="24"/>
          <w:szCs w:val="24"/>
        </w:rPr>
        <w:t>制卡窗口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eastAsia="zh-CN"/>
        </w:rPr>
        <w:t>、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各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合作制卡代理点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均可办理。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（三）</w:t>
      </w:r>
      <w:r>
        <w:rPr>
          <w:rFonts w:ascii="宋体" w:eastAsia="宋体" w:cs="黑体" w:hint="eastAsia"/>
          <w:b/>
          <w:bCs/>
          <w:color w:val="auto"/>
          <w:sz w:val="28"/>
          <w:szCs w:val="28"/>
        </w:rPr>
        <w:t>线上自助申请、线下领卡</w:t>
      </w:r>
    </w:p>
    <w:p>
      <w:pPr>
        <w:spacing w:line="360" w:lineRule="auto"/>
        <w:ind w:firstLineChars="200" w:firstLine="480"/>
        <w:rPr>
          <w:rFonts w:ascii="宋体" w:eastAsia="宋体" w:cs="仿宋" w:hint="eastAsia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1.登录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“</w:t>
      </w:r>
      <w:r>
        <w:rPr>
          <w:rFonts w:ascii="宋体" w:eastAsia="宋体" w:cs="仿宋" w:hint="eastAsia"/>
          <w:color w:val="auto"/>
          <w:sz w:val="24"/>
          <w:szCs w:val="24"/>
        </w:rPr>
        <w:t>制发卡及数字证书服务系统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”</w:t>
      </w:r>
      <w:r>
        <w:rPr>
          <w:rFonts w:ascii="宋体" w:eastAsia="宋体" w:cs="仿宋"/>
          <w:color w:val="auto"/>
          <w:sz w:val="24"/>
          <w:szCs w:val="24"/>
        </w:rPr>
        <w:t>：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新办法人卡需先注册后使用账号登录，并可同时提交新办操作员卡申请；仅新办操作员卡</w:t>
      </w:r>
      <w:r>
        <w:rPr>
          <w:rFonts w:ascii="宋体" w:eastAsia="宋体" w:cs="仿宋" w:hint="eastAsia"/>
          <w:color w:val="auto"/>
          <w:sz w:val="24"/>
          <w:szCs w:val="24"/>
        </w:rPr>
        <w:t>需使用法人卡</w:t>
      </w:r>
      <w:r>
        <w:rPr>
          <w:rFonts w:ascii="宋体" w:eastAsia="宋体" w:cs="仿宋"/>
          <w:color w:val="auto"/>
          <w:sz w:val="24"/>
          <w:szCs w:val="24"/>
        </w:rPr>
        <w:t>登录</w:t>
      </w:r>
      <w:r>
        <w:rPr>
          <w:rFonts w:ascii="宋体" w:eastAsia="宋体" w:cs="仿宋" w:hint="eastAsia"/>
          <w:color w:val="auto"/>
          <w:sz w:val="24"/>
          <w:szCs w:val="24"/>
        </w:rPr>
        <w:t>。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系统登录及操作手册：</w:t>
      </w:r>
      <w:r>
        <w:rPr>
          <w:rFonts w:ascii="宋体" w:eastAsia="宋体" w:cs="仿宋"/>
          <w:color w:val="auto"/>
          <w:sz w:val="24"/>
          <w:szCs w:val="24"/>
        </w:rPr>
        <w:t>https://e.chinaport.gov.cn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2.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进入“提交申请-办卡申请”，</w:t>
      </w:r>
      <w:r>
        <w:rPr>
          <w:rFonts w:ascii="宋体" w:eastAsia="宋体" w:cs="仿宋" w:hint="eastAsia"/>
          <w:color w:val="auto"/>
          <w:sz w:val="24"/>
          <w:szCs w:val="24"/>
        </w:rPr>
        <w:t>如实填报“单位基本信息”、“法人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卡信息”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、“</w:t>
      </w:r>
      <w:r>
        <w:rPr>
          <w:rFonts w:ascii="宋体" w:eastAsia="宋体" w:cs="仿宋" w:hint="eastAsia"/>
          <w:color w:val="auto"/>
          <w:sz w:val="24"/>
          <w:szCs w:val="24"/>
        </w:rPr>
        <w:t>操作员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卡信息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”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及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“</w:t>
      </w:r>
      <w:r>
        <w:rPr>
          <w:rFonts w:ascii="宋体" w:eastAsia="宋体" w:cs="仿宋" w:hint="eastAsia"/>
          <w:color w:val="auto"/>
          <w:sz w:val="24"/>
          <w:szCs w:val="24"/>
        </w:rPr>
        <w:t>经办人信息”，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制卡机构选择“</w:t>
      </w:r>
      <w:r>
        <w:rPr>
          <w:rFonts w:ascii="宋体" w:eastAsia="宋体" w:cs="仿宋" w:hint="eastAsia"/>
          <w:b/>
          <w:bCs/>
          <w:color w:val="FF0000"/>
          <w:sz w:val="24"/>
          <w:szCs w:val="24"/>
          <w:lang w:val="en-US" w:eastAsia="zh-CN"/>
        </w:rPr>
        <w:t>天津数据分中心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”，</w:t>
      </w:r>
      <w:r>
        <w:rPr>
          <w:rFonts w:ascii="宋体" w:eastAsia="宋体" w:cs="仿宋" w:hint="eastAsia"/>
          <w:color w:val="auto"/>
          <w:sz w:val="24"/>
          <w:szCs w:val="24"/>
        </w:rPr>
        <w:t>按照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系统提示</w:t>
      </w:r>
      <w:r>
        <w:rPr>
          <w:rFonts w:ascii="宋体" w:eastAsia="宋体" w:cs="仿宋" w:hint="eastAsia"/>
          <w:color w:val="auto"/>
          <w:sz w:val="24"/>
          <w:szCs w:val="24"/>
        </w:rPr>
        <w:t>上传相应证明材料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并提交申请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。</w:t>
      </w:r>
      <w:r>
        <w:rPr>
          <w:rFonts w:ascii="宋体" w:eastAsia="宋体" w:cs="仿宋" w:hint="eastAsia"/>
          <w:color w:val="auto"/>
          <w:sz w:val="24"/>
          <w:szCs w:val="24"/>
        </w:rPr>
        <w:t>如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核验不通过将</w:t>
      </w:r>
      <w:r>
        <w:rPr>
          <w:rFonts w:ascii="宋体" w:eastAsia="宋体" w:cs="仿宋" w:hint="eastAsia"/>
          <w:color w:val="auto"/>
          <w:sz w:val="24"/>
          <w:szCs w:val="24"/>
        </w:rPr>
        <w:t>退单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cs="仿宋" w:hint="eastAsia"/>
          <w:color w:val="auto"/>
          <w:sz w:val="24"/>
          <w:szCs w:val="24"/>
        </w:rPr>
        <w:t>需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按要求</w:t>
      </w:r>
      <w:r>
        <w:rPr>
          <w:rFonts w:ascii="宋体" w:eastAsia="宋体" w:cs="仿宋" w:hint="eastAsia"/>
          <w:color w:val="auto"/>
          <w:sz w:val="24"/>
          <w:szCs w:val="24"/>
        </w:rPr>
        <w:t>修改后重新提交申请。</w:t>
      </w:r>
    </w:p>
    <w:p>
      <w:pPr>
        <w:spacing w:line="360" w:lineRule="auto"/>
        <w:ind w:firstLineChars="200" w:firstLine="480"/>
        <w:rPr>
          <w:rFonts w:ascii="宋体" w:eastAsia="宋体" w:cs="仿宋"/>
          <w:color w:val="auto"/>
          <w:sz w:val="24"/>
          <w:szCs w:val="24"/>
        </w:rPr>
      </w:pPr>
      <w:r>
        <w:rPr>
          <w:rFonts w:ascii="宋体" w:eastAsia="宋体" w:cs="仿宋" w:hint="eastAsia"/>
          <w:color w:val="auto"/>
          <w:sz w:val="24"/>
          <w:szCs w:val="24"/>
        </w:rPr>
        <w:t>3.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办卡</w:t>
      </w:r>
      <w:r>
        <w:rPr>
          <w:rFonts w:ascii="宋体" w:eastAsia="宋体" w:cs="仿宋" w:hint="eastAsia"/>
          <w:color w:val="auto"/>
          <w:sz w:val="24"/>
          <w:szCs w:val="24"/>
        </w:rPr>
        <w:t>申请核验通过后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申请单中的</w:t>
      </w:r>
      <w:r>
        <w:rPr>
          <w:rFonts w:ascii="宋体" w:eastAsia="宋体" w:cs="仿宋" w:hint="eastAsia"/>
          <w:color w:val="auto"/>
          <w:sz w:val="24"/>
          <w:szCs w:val="24"/>
        </w:rPr>
        <w:t>经办人或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申请单位</w:t>
      </w:r>
      <w:r>
        <w:rPr>
          <w:rFonts w:ascii="宋体" w:eastAsia="宋体" w:cs="仿宋" w:hint="eastAsia"/>
          <w:color w:val="auto"/>
          <w:sz w:val="24"/>
          <w:szCs w:val="24"/>
        </w:rPr>
        <w:t>法定代表人携带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本人</w:t>
      </w:r>
      <w:r>
        <w:rPr>
          <w:rFonts w:ascii="宋体" w:eastAsia="宋体" w:cs="仿宋" w:hint="eastAsia"/>
          <w:color w:val="auto"/>
          <w:sz w:val="24"/>
          <w:szCs w:val="24"/>
        </w:rPr>
        <w:t>身份证明材料原件</w:t>
      </w:r>
      <w:r>
        <w:rPr>
          <w:rFonts w:ascii="宋体" w:eastAsia="宋体" w:cs="仿宋" w:hint="eastAsia"/>
          <w:color w:val="auto"/>
          <w:sz w:val="24"/>
          <w:szCs w:val="24"/>
          <w:lang w:eastAsia="zh-CN"/>
        </w:rPr>
        <w:t>，</w:t>
      </w:r>
      <w:r>
        <w:rPr>
          <w:rFonts w:ascii="宋体" w:eastAsia="宋体" w:cs="仿宋" w:hint="eastAsia"/>
          <w:color w:val="auto"/>
          <w:sz w:val="24"/>
          <w:szCs w:val="24"/>
        </w:rPr>
        <w:t>前往</w:t>
      </w:r>
      <w:r>
        <w:rPr>
          <w:rFonts w:ascii="宋体" w:eastAsia="宋体" w:cs="仿宋" w:hint="eastAsia"/>
          <w:b/>
          <w:bCs/>
          <w:color w:val="FF0000"/>
          <w:sz w:val="24"/>
          <w:szCs w:val="24"/>
        </w:rPr>
        <w:t>天津数据分中心</w:t>
      </w:r>
      <w:r>
        <w:rPr>
          <w:rFonts w:ascii="宋体" w:eastAsia="宋体" w:cs="仿宋"/>
          <w:b/>
          <w:bCs/>
          <w:color w:val="FF0000"/>
          <w:sz w:val="24"/>
          <w:szCs w:val="24"/>
        </w:rPr>
        <w:t>制卡窗口</w:t>
      </w:r>
      <w:r>
        <w:rPr>
          <w:rFonts w:ascii="宋体" w:eastAsia="宋体" w:cs="仿宋" w:hint="eastAsia"/>
          <w:color w:val="auto"/>
          <w:sz w:val="24"/>
          <w:szCs w:val="24"/>
          <w:lang w:val="en-US" w:eastAsia="zh-CN"/>
        </w:rPr>
        <w:t>现场领取电子口岸卡</w:t>
      </w:r>
      <w:r>
        <w:rPr>
          <w:rFonts w:ascii="宋体" w:eastAsia="宋体" w:cs="仿宋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560"/>
        <w:textAlignment w:val="auto"/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ascii="宋体" w:eastAsia="宋体" w:cs="黑体" w:hint="eastAsia"/>
          <w:b/>
          <w:bCs/>
          <w:color w:val="auto"/>
          <w:sz w:val="28"/>
          <w:szCs w:val="28"/>
          <w:lang w:val="en-US" w:eastAsia="zh-CN"/>
        </w:rPr>
        <w:t>（四）线下办理及领卡地址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黑体" w:hint="eastAsia"/>
          <w:b/>
          <w:bCs/>
          <w:color w:val="auto"/>
          <w:sz w:val="24"/>
          <w:szCs w:val="24"/>
        </w:rPr>
      </w:pPr>
      <w:r>
        <w:rPr>
          <w:rFonts w:ascii="宋体" w:eastAsia="宋体" w:cs="黑体" w:hint="eastAsia"/>
          <w:b/>
          <w:bCs/>
          <w:color w:val="auto"/>
          <w:sz w:val="24"/>
          <w:szCs w:val="24"/>
        </w:rPr>
        <w:t>天津数据分中心制卡窗口</w:t>
      </w:r>
    </w:p>
    <w:p>
      <w:pPr>
        <w:spacing w:line="360" w:lineRule="auto"/>
        <w:ind w:firstLineChars="200" w:firstLine="480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地址：天津市滨海新区跃进路1号航运服务中心二楼电子口岸窗口</w:t>
      </w:r>
    </w:p>
    <w:p>
      <w:pPr>
        <w:spacing w:line="360" w:lineRule="auto"/>
        <w:ind w:firstLineChars="200" w:firstLine="480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办理时间：工作日9:00-12:00，13:30-16:40</w:t>
      </w:r>
    </w:p>
    <w:p>
      <w:pPr>
        <w:spacing w:line="360" w:lineRule="auto"/>
        <w:ind w:firstLineChars="200" w:firstLine="480"/>
        <w:rPr>
          <w:rFonts w:ascii="宋体" w:eastAsia="宋体" w:cs="Times New Roman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客服热线：022-85194004</w:t>
      </w:r>
    </w:p>
    <w:p>
      <w:pPr>
        <w:spacing w:line="360" w:lineRule="auto"/>
        <w:ind w:firstLineChars="200" w:firstLine="480"/>
        <w:rPr>
          <w:rFonts w:ascii="宋体" w:eastAsia="宋体" w:cs="Times New Roman" w:hint="eastAsia"/>
          <w:color w:val="auto"/>
          <w:sz w:val="24"/>
          <w:szCs w:val="24"/>
        </w:rPr>
      </w:pPr>
      <w:r>
        <w:rPr>
          <w:rFonts w:ascii="宋体" w:eastAsia="宋体" w:cs="Times New Roman" w:hint="eastAsia"/>
          <w:color w:val="auto"/>
          <w:sz w:val="24"/>
          <w:szCs w:val="24"/>
        </w:rPr>
        <w:t>咨询时间：工作日8:30-11:30，13:30-17:00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200" w:firstLine="480"/>
        <w:textAlignment w:val="auto"/>
        <w:rPr>
          <w:rFonts w:ascii="宋体" w:eastAsia="宋体" w:cs="黑体" w:hint="eastAsia"/>
          <w:b/>
          <w:bCs/>
          <w:color w:val="auto"/>
          <w:sz w:val="24"/>
          <w:szCs w:val="24"/>
        </w:rPr>
      </w:pPr>
      <w:r>
        <w:rPr>
          <w:rFonts w:ascii="宋体" w:eastAsia="宋体" w:cs="黑体" w:hint="eastAsia"/>
          <w:b/>
          <w:bCs/>
          <w:color w:val="auto"/>
          <w:sz w:val="24"/>
          <w:szCs w:val="24"/>
        </w:rPr>
        <w:t>合作制卡代理点</w:t>
      </w:r>
    </w:p>
    <w:tbl>
      <w:tblPr>
        <w:jc w:val="center"/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146"/>
        <w:gridCol w:w="5446"/>
        <w:gridCol w:w="1715"/>
      </w:tblGrid>
      <w:tr>
        <w:tc>
          <w:tcPr>
            <w:tcW w:w="135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代理点名称</w:t>
            </w:r>
          </w:p>
        </w:tc>
        <w:tc>
          <w:tcPr>
            <w:tcW w:w="2769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870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bCs/>
                <w:color w:val="auto"/>
                <w:kern w:val="0"/>
                <w:sz w:val="24"/>
                <w:szCs w:val="24"/>
              </w:rPr>
              <w:t>咨询电话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建行天津南开支行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天津市南开区鞍山西道278,280,282,284号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022-27490442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建行天津开发分行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天津经济技术开发区广场东路20号滨海金融街E3AB1-4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022-66280956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建行天津塘沽支行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天津经济技术开发区黄海路一号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022-25292406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建行天津河西支行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天津市河西区气象台路48号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022-23371237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建行天津华鼎智地支行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天津滨海高新区华苑产业区海泰华科三路1号1号楼-1-103/104/105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022-23770605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建行天津滨海临空支行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天津自贸试验区（空港经济区）西二道82号增6、7、8号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022-24866026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022-22435852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建行天津武清支行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天津市武清区杨村新华路西雍阳西道北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022-29380930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建行天津红桥支行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天津市红桥区勤俭道86、193号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022-26543196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建行天津北辰支行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天津市北辰区京津公路354号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022-26397304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022-26390255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建行天津分行营业部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天津市河西区南京路19号增1号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022-58750474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建行天津东丽支行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天津市东丽区先锋路27号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022-24950204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建行天津大港支行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天津市滨海新区大港迎宾街98号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022-25994780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建行天津河东支行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天津市河东区津塘路1号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022-24213029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建行天津河北支行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天津市河北区平安街68号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022-24200929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建行天津津南支行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天津市津南区咸水沽镇津沽路178号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022-88919974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建行天津汉沽支行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天津市滨海新区寨上街新开中路88号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022-25692242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建行天津宁河支行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天津市宁河区芦台镇光明路45号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022-69114019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022-69592062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建行天津蓟州支行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天津市蓟州区人民东路1号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022-29192740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19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建行天津宝坻支行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天津市宝坻区建设路110号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022-29241150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022-29242340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建行天津静海支行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天津市静海区静文路5号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022-68921836</w:t>
            </w:r>
          </w:p>
        </w:tc>
      </w:tr>
      <w:t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21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建行天津和平支行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37"/>
                <w:rFonts w:cs="仿宋"/>
                <w:color w:val="auto"/>
                <w:kern w:val="0"/>
                <w:sz w:val="24"/>
                <w:szCs w:val="24"/>
              </w:rPr>
              <w:t>天津市和平区解放北路104号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color w:val="auto"/>
                <w:kern w:val="0"/>
                <w:sz w:val="24"/>
                <w:szCs w:val="24"/>
              </w:rPr>
              <w:t>022-58751367</w:t>
            </w:r>
          </w:p>
        </w:tc>
      </w:tr>
      <w:tr>
        <w:tc>
          <w:tcPr>
            <w:tcW w:w="5000" w:type="pct"/>
            <w:gridSpan w:val="4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eastAsia="宋体" w:cs="仿宋" w:hint="eastAsia"/>
                <w:b/>
                <w:color w:val="auto"/>
                <w:kern w:val="0"/>
                <w:sz w:val="24"/>
                <w:szCs w:val="24"/>
              </w:rPr>
              <w:t>注：办理时间以各代理点对外公布为准。</w:t>
            </w:r>
          </w:p>
        </w:tc>
      </w:tr>
    </w:tbl>
    <w:p>
      <w:pPr>
        <w:pStyle w:val="47"/>
        <w:adjustRightInd w:val="0"/>
        <w:snapToGrid w:val="0"/>
        <w:spacing w:line="360" w:lineRule="exact"/>
        <w:rPr>
          <w:color w:val="auto"/>
          <w:szCs w:val="21"/>
        </w:rPr>
      </w:pPr>
    </w:p>
    <w:sectPr>
      <w:footerReference w:type="default" r:id="rId2"/>
      <w:pgSz w:w="11907" w:h="16839"/>
      <w:pgMar w:top="1134" w:right="1134" w:bottom="1134" w:left="1134" w:header="1418" w:footer="851" w:gutter="0"/>
      <w:pgNumType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等线">
    <w:altName w:val="Arial Unicode MS"/>
    <w:panose1 w:val="02010600030101010101"/>
    <w:charset w:val="86"/>
    <w:family w:val="roman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roman"/>
    <w:pitch w:val="variable"/>
    <w:sig w:usb0="00000001" w:usb1="080E0000" w:usb2="00000000" w:usb3="00000000" w:csb0="00040000" w:csb1="00000000"/>
  </w:font>
  <w:font w:name="Microsoft YaHei U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52"/>
      <w:jc w:val="center"/>
      <w:rPr>
        <w:rStyle w:val="30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OTYwYzJhZjA3MmMyYzJhOWQ0MDAwNzUyOWRlODY5Yz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widowControl/>
      <w:spacing w:before="100" w:beforeAutospacing="1" w:after="100" w:afterAutospacing="1"/>
      <w:jc w:val="left"/>
      <w:outlineLvl w:val="0"/>
    </w:pPr>
    <w:rPr>
      <w:rFonts w:ascii="宋体" w:eastAsia="宋体" w:cs="宋体"/>
      <w:b/>
      <w:bCs/>
      <w:kern w:val="36"/>
      <w:sz w:val="48"/>
      <w:szCs w:val="48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16">
    <w:name w:val="annotation text"/>
    <w:basedOn w:val="0"/>
    <w:pPr>
      <w:jc w:val="left"/>
    </w:pPr>
  </w:style>
  <w:style w:type="paragraph" w:styleId="17">
    <w:name w:val="toc 1"/>
    <w:next w:val="0"/>
    <w:pPr>
      <w:widowControl w:val="0"/>
      <w:tabs>
        <w:tab w:val="right" w:leader="dot" w:pos="9345"/>
      </w:tabs>
      <w:spacing w:before="120" w:after="120"/>
      <w:jc w:val="both"/>
    </w:pPr>
    <w:rPr>
      <w:rFonts w:ascii="Times New Roman" w:eastAsia="宋体" w:cs="Times New Roman" w:hAnsi="Times New Roman"/>
      <w:b/>
      <w:caps/>
      <w:smallCaps w:val="0"/>
      <w:kern w:val="2"/>
      <w:sz w:val="21"/>
      <w:lang w:val="en-US" w:eastAsia="zh-CN" w:bidi="ar-SA"/>
    </w:rPr>
  </w:style>
  <w:style w:type="paragraph" w:styleId="18">
    <w:name w:val="toc 2"/>
    <w:basedOn w:val="17"/>
    <w:next w:val="0"/>
    <w:pPr>
      <w:tabs>
        <w:tab w:val="right" w:leader="dot" w:pos="9345"/>
      </w:tabs>
      <w:spacing w:before="0" w:after="0"/>
    </w:pPr>
    <w:rPr>
      <w:b w:val="0"/>
      <w:caps w:val="0"/>
      <w:smallCaps/>
    </w:rPr>
  </w:style>
  <w:style w:type="paragraph" w:styleId="19">
    <w:name w:val="toc 3"/>
    <w:basedOn w:val="18"/>
    <w:next w:val="0"/>
    <w:pPr>
      <w:tabs>
        <w:tab w:val="right" w:leader="dot" w:pos="9345"/>
      </w:tabs>
    </w:pPr>
    <w:rPr>
      <w:i/>
    </w:rPr>
  </w:style>
  <w:style w:type="paragraph" w:styleId="20">
    <w:name w:val="toc 4"/>
    <w:basedOn w:val="19"/>
    <w:next w:val="0"/>
    <w:pPr>
      <w:tabs>
        <w:tab w:val="right" w:leader="dot" w:pos="9345"/>
      </w:tabs>
    </w:pPr>
    <w:rPr>
      <w:i w:val="0"/>
    </w:rPr>
  </w:style>
  <w:style w:type="paragraph" w:styleId="21">
    <w:name w:val="toc 5"/>
    <w:basedOn w:val="20"/>
    <w:next w:val="0"/>
    <w:pPr>
      <w:tabs>
        <w:tab w:val="right" w:leader="dot" w:pos="9345"/>
      </w:tabs>
    </w:pPr>
  </w:style>
  <w:style w:type="paragraph" w:styleId="22">
    <w:name w:val="Balloon Text"/>
    <w:basedOn w:val="0"/>
    <w:rPr>
      <w:sz w:val="18"/>
      <w:szCs w:val="18"/>
    </w:r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6"/>
    <w:basedOn w:val="21"/>
    <w:next w:val="0"/>
    <w:pPr>
      <w:tabs>
        <w:tab w:val="right" w:leader="dot" w:pos="9345"/>
      </w:tabs>
    </w:pPr>
  </w:style>
  <w:style w:type="paragraph" w:styleId="26">
    <w:name w:val="table of figures"/>
    <w:basedOn w:val="0"/>
    <w:next w:val="0"/>
    <w:pPr>
      <w:ind w:leftChars="200" w:left="400" w:hangingChars="200" w:hanging="200"/>
    </w:pPr>
  </w:style>
  <w:style w:type="paragraph" w:styleId="27">
    <w:name w:val="toc 9"/>
    <w:basedOn w:val="0"/>
    <w:next w:val="0"/>
    <w:pPr>
      <w:ind w:leftChars="1600" w:left="1600"/>
    </w:pPr>
  </w:style>
  <w:style w:type="paragraph" w:styleId="2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29">
    <w:name w:val="Strong"/>
    <w:basedOn w:val="10"/>
    <w:rPr>
      <w:b/>
      <w:bCs/>
    </w:rPr>
  </w:style>
  <w:style w:type="character" w:styleId="30">
    <w:name w:val="page number"/>
    <w:rPr>
      <w:rFonts w:ascii="Times New Roman" w:eastAsia="宋体" w:hAnsi="Times New Roman"/>
      <w:sz w:val="18"/>
    </w:rPr>
  </w:style>
  <w:style w:type="character" w:styleId="31">
    <w:name w:val="Hyperlink"/>
    <w:basedOn w:val="10"/>
    <w:rPr>
      <w:color w:val="0000FF"/>
      <w:u w:val="single"/>
    </w:rPr>
  </w:style>
  <w:style w:type="character" w:styleId="32">
    <w:name w:val="annotation reference"/>
    <w:basedOn w:val="10"/>
    <w:rPr>
      <w:sz w:val="21"/>
      <w:szCs w:val="21"/>
    </w:rPr>
  </w:style>
  <w:style w:type="paragraph" w:customStyle="1" w:styleId="33">
    <w:name w:val="样式 59 10 磅"/>
    <w:next w:val="15"/>
    <w:pPr>
      <w:widowControl w:val="0"/>
      <w:jc w:val="both"/>
    </w:pPr>
    <w:rPr>
      <w:rFonts w:ascii="Times New Roman" w:eastAsia="仿宋_GB2312" w:cs="Arial" w:hAnsi="Times New Roman"/>
      <w:kern w:val="2"/>
      <w:sz w:val="21"/>
      <w:szCs w:val="22"/>
      <w:lang w:val="en-US" w:eastAsia="zh-CN" w:bidi="ar-SA"/>
    </w:rPr>
  </w:style>
  <w:style w:type="paragraph" w:customStyle="1" w:styleId="34">
    <w:name w:val="修订1"/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pf0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customStyle="1" w:styleId="36">
    <w:name w:val="cf01"/>
    <w:basedOn w:val="10"/>
    <w:rPr>
      <w:rFonts w:ascii="Microsoft YaHei UI" w:eastAsia="Microsoft YaHei UI" w:hAnsi="Microsoft YaHei UI"/>
      <w:sz w:val="18"/>
      <w:szCs w:val="18"/>
    </w:rPr>
  </w:style>
  <w:style w:type="character" w:customStyle="1" w:styleId="37">
    <w:name w:val="font01"/>
    <w:basedOn w:val="10"/>
    <w:rPr>
      <w:rFonts w:ascii="宋体" w:eastAsia="宋体" w:cs="宋体"/>
      <w:color w:val="333333"/>
      <w:sz w:val="26"/>
      <w:szCs w:val="26"/>
      <w:u w:val="none"/>
    </w:rPr>
  </w:style>
  <w:style w:type="paragraph" w:customStyle="1" w:styleId="38">
    <w:name w:val="样式 121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39">
    <w:name w:val="样式 3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0">
    <w:name w:val="样式 4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1">
    <w:name w:val="样式 5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2">
    <w:name w:val="List Paragraph"/>
    <w:basedOn w:val="0"/>
    <w:pPr>
      <w:ind w:firstLineChars="200" w:firstLine="200"/>
    </w:pPr>
  </w:style>
  <w:style w:type="paragraph" w:customStyle="1" w:styleId="43">
    <w:name w:val="样式 16 10 磅"/>
    <w:next w:val="25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4">
    <w:name w:val="样式 8 10 磅"/>
    <w:pPr>
      <w:widowControl w:val="0"/>
      <w:spacing w:after="200" w:line="276" w:lineRule="auto"/>
      <w:jc w:val="both"/>
    </w:pPr>
    <w:rPr>
      <w:rFonts w:ascii="Cambria" w:eastAsia="仿宋_GB2312" w:cs="Times New Roman" w:hAnsi="Cambria"/>
      <w:kern w:val="2"/>
      <w:sz w:val="21"/>
      <w:szCs w:val="22"/>
      <w:lang w:val="en-US" w:eastAsia="zh-CN" w:bidi="ar-SA"/>
    </w:rPr>
  </w:style>
  <w:style w:type="paragraph" w:customStyle="1" w:styleId="45">
    <w:name w:val="样式 1 10 磅"/>
    <w:pPr>
      <w:widowControl w:val="0"/>
      <w:spacing w:after="200" w:line="276" w:lineRule="auto"/>
      <w:jc w:val="both"/>
    </w:pPr>
    <w:rPr>
      <w:rFonts w:ascii="Cambria" w:eastAsia="仿宋_GB2312" w:cs="Times New Roman" w:hAnsi="Cambria"/>
      <w:kern w:val="2"/>
      <w:sz w:val="21"/>
      <w:szCs w:val="22"/>
      <w:lang w:val="en-US" w:eastAsia="zh-CN" w:bidi="ar-SA"/>
    </w:rPr>
  </w:style>
  <w:style w:type="paragraph" w:customStyle="1" w:styleId="46">
    <w:name w:val="段"/>
    <w:pPr>
      <w:autoSpaceDE w:val="0"/>
      <w:autoSpaceDN w:val="0"/>
      <w:ind w:firstLineChars="200" w:firstLine="200"/>
      <w:jc w:val="both"/>
    </w:pPr>
    <w:rPr>
      <w:rFonts w:ascii="宋体" w:eastAsia="宋体" w:cs="Times New Roman"/>
      <w:sz w:val="21"/>
      <w:lang w:val="en-US" w:eastAsia="zh-CN" w:bidi="ar-SA"/>
    </w:rPr>
  </w:style>
  <w:style w:type="paragraph" w:customStyle="1" w:styleId="47">
    <w:name w:val="样式 11 10 磅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lang w:val="en-US" w:eastAsia="zh-CN" w:bidi="ar-SA"/>
    </w:rPr>
  </w:style>
  <w:style w:type="paragraph" w:customStyle="1" w:styleId="48">
    <w:name w:val="样式 小五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Chars="200" w:firstLine="200"/>
    </w:pPr>
    <w:rPr>
      <w:rFonts w:ascii="Calibri" w:eastAsia="仿宋_GB2312" w:cs="Times New Roman" w:hAnsi="Calibri"/>
      <w:sz w:val="18"/>
      <w:szCs w:val="18"/>
      <w:lang w:val="en-US" w:eastAsia="zh-CN" w:bidi="ar-SA"/>
    </w:rPr>
  </w:style>
  <w:style w:type="paragraph" w:customStyle="1" w:styleId="49">
    <w:name w:val="样式 19 10 磅"/>
    <w:next w:val="26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50">
    <w:name w:val="样式 20 10 磅"/>
    <w:next w:val="27"/>
    <w:pPr>
      <w:widowControl w:val="0"/>
      <w:jc w:val="both"/>
    </w:pPr>
    <w:rPr>
      <w:rFonts w:ascii="Times New Roman" w:eastAsia="仿宋_GB2312" w:cs="Times New Roman" w:hAnsi="Times New Roman"/>
      <w:kern w:val="2"/>
      <w:sz w:val="21"/>
      <w:szCs w:val="28"/>
      <w:lang w:val="en-US" w:eastAsia="zh-CN" w:bidi="ar-SA"/>
    </w:rPr>
  </w:style>
  <w:style w:type="paragraph" w:customStyle="1" w:styleId="51">
    <w:name w:val="样式 2 小五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Chars="200" w:firstLine="200"/>
    </w:pPr>
    <w:rPr>
      <w:rFonts w:ascii="Calibri" w:eastAsia="仿宋_GB2312" w:cs="Times New Roman" w:hAnsi="Calibri"/>
      <w:sz w:val="18"/>
      <w:szCs w:val="18"/>
      <w:lang w:val="en-US" w:eastAsia="zh-CN" w:bidi="ar-SA"/>
    </w:rPr>
  </w:style>
  <w:style w:type="paragraph" w:customStyle="1" w:styleId="52">
    <w:name w:val="标准书脚_奇数页"/>
    <w:pPr>
      <w:spacing w:before="120"/>
      <w:jc w:val="right"/>
    </w:pPr>
    <w:rPr>
      <w:rFonts w:ascii="Times New Roman" w:eastAsia="宋体" w:cs="Times New Roman" w:hAnsi="Times New Roman"/>
      <w:sz w:val="18"/>
      <w:lang w:val="en-US" w:eastAsia="zh-CN" w:bidi="ar-SA"/>
    </w:rPr>
  </w:style>
  <w:style w:type="paragraph" w:customStyle="1" w:styleId="53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172</TotalTime>
  <Application>Yozo_Office</Application>
  <Pages>3</Pages>
  <Words>1624</Words>
  <Characters>2076</Characters>
  <Lines>150</Lines>
  <Paragraphs>124</Paragraphs>
  <CharactersWithSpaces>2076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359290989@qq.com</dc:creator>
  <cp:lastModifiedBy>吕哲楠</cp:lastModifiedBy>
  <cp:revision>32</cp:revision>
  <dcterms:created xsi:type="dcterms:W3CDTF">2023-12-21T07:10:00Z</dcterms:created>
  <dcterms:modified xsi:type="dcterms:W3CDTF">2026-07-07T07:57:05Z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2052-11.8.2.10229</vt:lpwstr>
  </property>
  <property fmtid="{D5CDD505-2E9C-101B-9397-08002B2CF9AE}" pid="3" name="ICV">
    <vt:lpwstr>B86D68E036D84496917758E608E0A07A_13</vt:lpwstr>
  </property>
</Properties>
</file>