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4" w:lineRule="exact"/>
        <w:jc w:val="center"/>
        <w:rPr>
          <w:rFonts w:ascii="方正小标宋简体" w:hAnsi="华文中宋" w:eastAsia="方正小标宋简体" w:cs="华文中宋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sz w:val="44"/>
          <w:szCs w:val="44"/>
        </w:rPr>
        <w:t>进境动植物及其产品检疫审批审查工作细则</w:t>
      </w:r>
    </w:p>
    <w:p>
      <w:pPr>
        <w:spacing w:line="594" w:lineRule="exact"/>
        <w:jc w:val="center"/>
        <w:rPr>
          <w:rFonts w:ascii="方正楷体简体" w:hAnsi="华文中宋" w:eastAsia="方正楷体简体" w:cs="华文中宋"/>
          <w:sz w:val="32"/>
          <w:szCs w:val="32"/>
        </w:rPr>
      </w:pPr>
      <w:r>
        <w:rPr>
          <w:rFonts w:hint="eastAsia" w:ascii="方正楷体简体" w:hAnsi="华文中宋" w:eastAsia="方正楷体简体" w:cs="华文中宋"/>
          <w:sz w:val="32"/>
          <w:szCs w:val="32"/>
        </w:rPr>
        <w:t>（进出口食品安全局）</w:t>
      </w:r>
    </w:p>
    <w:p>
      <w:pPr>
        <w:pStyle w:val="7"/>
        <w:widowControl/>
        <w:spacing w:line="594" w:lineRule="exact"/>
        <w:rPr>
          <w:rFonts w:ascii="仿宋_GB2312" w:hAnsi="仿宋_GB2312" w:eastAsia="仿宋_GB2312" w:cs="仿宋_GB2312"/>
          <w:b/>
          <w:kern w:val="2"/>
          <w:sz w:val="32"/>
          <w:szCs w:val="32"/>
        </w:rPr>
      </w:pPr>
    </w:p>
    <w:p>
      <w:pPr>
        <w:pStyle w:val="7"/>
        <w:widowControl/>
        <w:spacing w:line="594" w:lineRule="exact"/>
        <w:ind w:firstLine="576" w:firstLineChars="180"/>
        <w:rPr>
          <w:rFonts w:ascii="方正黑体简体" w:hAnsi="仿宋_GB2312" w:eastAsia="方正黑体简体" w:cs="仿宋_GB2312"/>
          <w:kern w:val="2"/>
          <w:sz w:val="32"/>
          <w:szCs w:val="32"/>
        </w:rPr>
      </w:pPr>
      <w:r>
        <w:rPr>
          <w:rFonts w:hint="eastAsia" w:ascii="方正黑体简体" w:hAnsi="仿宋_GB2312" w:eastAsia="方正黑体简体" w:cs="仿宋_GB2312"/>
          <w:kern w:val="2"/>
          <w:sz w:val="32"/>
          <w:szCs w:val="32"/>
        </w:rPr>
        <w:t>一、项目信息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项目名称：进境（过境）动植物及其产品检疫审批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子项名称：1.进境（过境）动物及其产品检疫审批 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          2.进境（过境）植物及其产品检疫审批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审批类别：行政许可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项目编号：26005</w:t>
      </w:r>
    </w:p>
    <w:p>
      <w:pPr>
        <w:pStyle w:val="7"/>
        <w:widowControl/>
        <w:spacing w:line="594" w:lineRule="exact"/>
        <w:ind w:firstLine="576" w:firstLineChars="180"/>
        <w:rPr>
          <w:rFonts w:ascii="方正黑体简体" w:hAnsi="仿宋_GB2312" w:eastAsia="方正黑体简体" w:cs="仿宋_GB2312"/>
          <w:kern w:val="2"/>
          <w:sz w:val="32"/>
          <w:szCs w:val="32"/>
        </w:rPr>
      </w:pPr>
      <w:r>
        <w:rPr>
          <w:rFonts w:hint="eastAsia" w:ascii="方正黑体简体" w:hAnsi="仿宋_GB2312" w:eastAsia="方正黑体简体" w:cs="仿宋_GB2312"/>
          <w:kern w:val="2"/>
          <w:sz w:val="32"/>
          <w:szCs w:val="32"/>
        </w:rPr>
        <w:t>二、审查过程</w:t>
      </w:r>
    </w:p>
    <w:p>
      <w:pPr>
        <w:spacing w:line="594" w:lineRule="exact"/>
        <w:ind w:firstLine="578" w:firstLineChars="180"/>
        <w:rPr>
          <w:rFonts w:ascii="方正楷体简体" w:hAnsi="仿宋_GB2312" w:eastAsia="方正楷体简体" w:cs="仿宋_GB2312"/>
          <w:b/>
          <w:sz w:val="32"/>
          <w:szCs w:val="32"/>
        </w:rPr>
      </w:pPr>
      <w:r>
        <w:rPr>
          <w:rFonts w:hint="eastAsia" w:ascii="方正楷体简体" w:hAnsi="仿宋_GB2312" w:eastAsia="方正楷体简体" w:cs="仿宋_GB2312"/>
          <w:b/>
          <w:sz w:val="32"/>
          <w:szCs w:val="32"/>
        </w:rPr>
        <w:t>（一）审查流程</w:t>
      </w:r>
    </w:p>
    <w:p>
      <w:pPr>
        <w:autoSpaceDN w:val="0"/>
        <w:spacing w:line="594" w:lineRule="exact"/>
        <w:ind w:firstLine="581" w:firstLineChars="181"/>
        <w:rPr>
          <w:rFonts w:ascii="方正仿宋简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1.</w:t>
      </w:r>
      <w:r>
        <w:rPr>
          <w:rFonts w:hint="eastAsia" w:ascii="方正仿宋简体" w:eastAsia="方正仿宋简体"/>
          <w:b/>
          <w:sz w:val="32"/>
          <w:szCs w:val="32"/>
        </w:rPr>
        <w:t>审查流程图见附件。</w:t>
      </w:r>
    </w:p>
    <w:p>
      <w:pPr>
        <w:autoSpaceDN w:val="0"/>
        <w:spacing w:line="594" w:lineRule="exact"/>
        <w:ind w:firstLine="581" w:firstLineChars="181"/>
        <w:rPr>
          <w:rFonts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2.一般程序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（1）申请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申请单位通过电子方式，向直属检验检疫局提出申请，同时，按照不同产品的要求，并向直属检验检疫局提交相关随附单证。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（2）受理、初审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直属检验检疫局根据申请单位提交的材料是否齐全、是否符合法定形式做出受理或不予受理的决定。材料齐全并符合法定形式的</w:t>
      </w:r>
      <w:r>
        <w:rPr>
          <w:rFonts w:hint="eastAsia" w:ascii="方正仿宋简体" w:eastAsia="方正仿宋简体"/>
          <w:sz w:val="32"/>
          <w:szCs w:val="32"/>
        </w:rPr>
        <w:t>按照规定时限</w:t>
      </w:r>
      <w:r>
        <w:rPr>
          <w:rFonts w:hint="eastAsia" w:ascii="方正仿宋简体" w:hAnsi="宋体" w:eastAsia="方正仿宋简体"/>
          <w:sz w:val="32"/>
          <w:szCs w:val="32"/>
        </w:rPr>
        <w:t>予以受理，并签发《受理单》；发现申请材料不齐全或者不符合法定形式的，签发《不予受理通知书》。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受理后，直属检验检疫局对申请进行初审，初审通过的，使用电子审批系统将申请转到国家质检总局进出口食品安全局（以下简称“食品局”）。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经初审发现申请中包含不在检疫审批范围内的产品的，予以否决，并签发《许可证申请未获准通知单》。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申请材料齐全且符合法定形式的，直属检验检疫局应当按照规定时限予以受理，出具受理单。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（3）审核、批准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国家质检总局食品局根据国外动植物疫情、法律法规、公告禁令、预警通报、风险评估报告、安全评价报告等，对直属检验检疫局提交的申请进行审核，在10个工作日内作出许可或不予许可的决定，并签发《进境动植物检疫审批许可证》或</w:t>
      </w:r>
      <w:r>
        <w:rPr>
          <w:rFonts w:hint="eastAsia" w:ascii="方正仿宋简体" w:hAnsi="宋体" w:eastAsia="方正仿宋简体" w:cs="宋体"/>
          <w:sz w:val="32"/>
          <w:szCs w:val="32"/>
        </w:rPr>
        <w:t>《检疫许可证申请未获准通知单》</w:t>
      </w:r>
      <w:r>
        <w:rPr>
          <w:rFonts w:hint="eastAsia" w:ascii="方正仿宋简体" w:hAnsi="宋体" w:eastAsia="方正仿宋简体"/>
          <w:sz w:val="32"/>
          <w:szCs w:val="32"/>
        </w:rPr>
        <w:t xml:space="preserve">，    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审批工作自直属检验检疫局受理之日起15个工作日内完成。</w:t>
      </w:r>
    </w:p>
    <w:p>
      <w:pPr>
        <w:pStyle w:val="7"/>
        <w:widowControl/>
        <w:spacing w:line="594" w:lineRule="exact"/>
        <w:ind w:firstLine="803" w:firstLineChars="250"/>
        <w:rPr>
          <w:rFonts w:ascii="方正仿宋简体" w:hAnsi="仿宋_GB2312" w:eastAsia="方正仿宋简体" w:cs="仿宋_GB2312"/>
          <w:b/>
          <w:kern w:val="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b/>
          <w:kern w:val="2"/>
          <w:sz w:val="32"/>
          <w:szCs w:val="32"/>
        </w:rPr>
        <w:t>3.特殊程序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无。</w:t>
      </w:r>
    </w:p>
    <w:p>
      <w:pPr>
        <w:pStyle w:val="7"/>
        <w:widowControl/>
        <w:spacing w:line="594" w:lineRule="exact"/>
        <w:ind w:firstLine="643" w:firstLineChars="200"/>
        <w:rPr>
          <w:rFonts w:ascii="方正楷体简体" w:hAnsi="仿宋_GB2312" w:eastAsia="方正楷体简体" w:cs="仿宋_GB2312"/>
          <w:b/>
          <w:kern w:val="2"/>
          <w:sz w:val="32"/>
          <w:szCs w:val="32"/>
        </w:rPr>
      </w:pPr>
      <w:r>
        <w:rPr>
          <w:rFonts w:hint="eastAsia" w:ascii="方正楷体简体" w:hAnsi="仿宋_GB2312" w:eastAsia="方正楷体简体" w:cs="仿宋_GB2312"/>
          <w:b/>
          <w:kern w:val="2"/>
          <w:sz w:val="32"/>
          <w:szCs w:val="32"/>
        </w:rPr>
        <w:t>（二）审查环节与经办要求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见《进境动植物检疫许可证》行政审批经办人审查表（见表1、表2）</w:t>
      </w:r>
    </w:p>
    <w:p>
      <w:pPr>
        <w:pStyle w:val="7"/>
        <w:widowControl/>
        <w:spacing w:line="594" w:lineRule="exact"/>
        <w:ind w:firstLine="643" w:firstLineChars="200"/>
        <w:rPr>
          <w:rFonts w:ascii="方正楷体简体" w:hAnsi="仿宋_GB2312" w:eastAsia="方正楷体简体" w:cs="仿宋_GB2312"/>
          <w:b/>
          <w:kern w:val="2"/>
          <w:sz w:val="32"/>
          <w:szCs w:val="32"/>
        </w:rPr>
      </w:pPr>
      <w:r>
        <w:rPr>
          <w:rFonts w:hint="eastAsia" w:ascii="方正楷体简体" w:hAnsi="仿宋_GB2312" w:eastAsia="方正楷体简体" w:cs="仿宋_GB2312"/>
          <w:b/>
          <w:kern w:val="2"/>
          <w:sz w:val="32"/>
          <w:szCs w:val="32"/>
        </w:rPr>
        <w:t>（三）审查方式</w:t>
      </w:r>
    </w:p>
    <w:p>
      <w:pPr>
        <w:autoSpaceDN w:val="0"/>
        <w:spacing w:line="594" w:lineRule="exact"/>
        <w:ind w:firstLine="643" w:firstLineChars="200"/>
        <w:rPr>
          <w:rFonts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1. 审查依据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ascii="方正仿宋简体" w:hAnsi="宋体" w:eastAsia="方正仿宋简体"/>
          <w:sz w:val="32"/>
          <w:szCs w:val="32"/>
        </w:rPr>
        <w:t>《进境动植物检疫审批管理办法》国家质量监督检验检疫总局第25号</w:t>
      </w:r>
      <w:r>
        <w:rPr>
          <w:rFonts w:hint="eastAsia" w:ascii="方正仿宋简体" w:hAnsi="宋体" w:eastAsia="方正仿宋简体"/>
          <w:sz w:val="32"/>
          <w:szCs w:val="32"/>
        </w:rPr>
        <w:t>令。</w:t>
      </w:r>
    </w:p>
    <w:p>
      <w:pPr>
        <w:autoSpaceDN w:val="0"/>
        <w:spacing w:line="594" w:lineRule="exact"/>
        <w:ind w:firstLine="643" w:firstLineChars="200"/>
        <w:rPr>
          <w:rFonts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2. 审查方式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color w:val="FF0000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书面审查，</w:t>
      </w:r>
      <w:r>
        <w:rPr>
          <w:rFonts w:ascii="方正仿宋简体" w:hAnsi="宋体" w:eastAsia="方正仿宋简体"/>
          <w:sz w:val="32"/>
          <w:szCs w:val="32"/>
        </w:rPr>
        <w:t>申请单位应当向初审机构提供下列材料: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（1）</w:t>
      </w:r>
      <w:r>
        <w:rPr>
          <w:rFonts w:ascii="方正仿宋简体" w:hAnsi="宋体" w:eastAsia="方正仿宋简体"/>
          <w:sz w:val="32"/>
          <w:szCs w:val="32"/>
        </w:rPr>
        <w:t>申请单位的法人资格证明文件(复印件);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（2）</w:t>
      </w:r>
      <w:r>
        <w:rPr>
          <w:rFonts w:ascii="方正仿宋简体" w:hAnsi="宋体" w:eastAsia="方正仿宋简体"/>
          <w:sz w:val="32"/>
          <w:szCs w:val="32"/>
        </w:rPr>
        <w:t>输入水产品等由国家质检总局公布的定点企业生产、加工、存放的，申请单位需提供与定点企业签订的生产、加工、存放的合同;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（3）</w:t>
      </w:r>
      <w:r>
        <w:rPr>
          <w:rFonts w:ascii="方正仿宋简体" w:hAnsi="宋体" w:eastAsia="方正仿宋简体"/>
          <w:sz w:val="32"/>
          <w:szCs w:val="32"/>
        </w:rPr>
        <w:t>按照规定可以核销的进境动植物产品，同一申请单位第二次申请时，应当按照有关规定附上一次《检疫许可证》(含核销表);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（4）</w:t>
      </w:r>
      <w:r>
        <w:rPr>
          <w:rFonts w:ascii="方正仿宋简体" w:hAnsi="宋体" w:eastAsia="方正仿宋简体"/>
          <w:sz w:val="32"/>
          <w:szCs w:val="32"/>
        </w:rPr>
        <w:t>需要提供的其他材料。</w:t>
      </w:r>
    </w:p>
    <w:p>
      <w:pPr>
        <w:autoSpaceDN w:val="0"/>
        <w:spacing w:line="594" w:lineRule="exact"/>
        <w:ind w:firstLine="643" w:firstLineChars="200"/>
        <w:rPr>
          <w:rFonts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 xml:space="preserve">3. </w:t>
      </w:r>
      <w:r>
        <w:rPr>
          <w:rFonts w:ascii="方正仿宋简体" w:hAnsi="宋体" w:eastAsia="方正仿宋简体"/>
          <w:b/>
          <w:sz w:val="32"/>
          <w:szCs w:val="32"/>
        </w:rPr>
        <w:t>审核批准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ascii="方正仿宋简体" w:hAnsi="宋体" w:eastAsia="方正仿宋简体"/>
          <w:sz w:val="32"/>
          <w:szCs w:val="32"/>
        </w:rPr>
        <w:t>初审机构对申请单位检疫审批申请进行初审的内容包括: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（1）</w:t>
      </w:r>
      <w:r>
        <w:rPr>
          <w:rFonts w:ascii="方正仿宋简体" w:hAnsi="宋体" w:eastAsia="方正仿宋简体"/>
          <w:sz w:val="32"/>
          <w:szCs w:val="32"/>
        </w:rPr>
        <w:t>申请单位提交的材料是否齐全，是否符合</w:t>
      </w:r>
      <w:r>
        <w:rPr>
          <w:rFonts w:hint="eastAsia" w:ascii="方正仿宋简体" w:hAnsi="宋体" w:eastAsia="方正仿宋简体"/>
          <w:sz w:val="32"/>
          <w:szCs w:val="32"/>
        </w:rPr>
        <w:t>上述</w:t>
      </w:r>
      <w:r>
        <w:rPr>
          <w:rFonts w:ascii="方正仿宋简体" w:hAnsi="宋体" w:eastAsia="方正仿宋简体"/>
          <w:sz w:val="32"/>
          <w:szCs w:val="32"/>
        </w:rPr>
        <w:t>的规定;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（2）</w:t>
      </w:r>
      <w:r>
        <w:rPr>
          <w:rFonts w:ascii="方正仿宋简体" w:hAnsi="宋体" w:eastAsia="方正仿宋简体"/>
          <w:sz w:val="32"/>
          <w:szCs w:val="32"/>
        </w:rPr>
        <w:t>输出和途经国家或者地区有无相关的动植物疫情;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（3）</w:t>
      </w:r>
      <w:r>
        <w:rPr>
          <w:rFonts w:ascii="方正仿宋简体" w:hAnsi="宋体" w:eastAsia="方正仿宋简体"/>
          <w:sz w:val="32"/>
          <w:szCs w:val="32"/>
        </w:rPr>
        <w:t>是否符合中国有关动植物检疫法律法规和部门规章的规定;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（4）</w:t>
      </w:r>
      <w:r>
        <w:rPr>
          <w:rFonts w:ascii="方正仿宋简体" w:hAnsi="宋体" w:eastAsia="方正仿宋简体"/>
          <w:sz w:val="32"/>
          <w:szCs w:val="32"/>
        </w:rPr>
        <w:t>是否符合中国与输出国家或者地区签订的双边检疫协定(包括检疫协议、议定书、备忘录等);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（5）</w:t>
      </w:r>
      <w:r>
        <w:rPr>
          <w:rFonts w:ascii="方正仿宋简体" w:hAnsi="宋体" w:eastAsia="方正仿宋简体"/>
          <w:sz w:val="32"/>
          <w:szCs w:val="32"/>
        </w:rPr>
        <w:t>进境后需要对生产、加工过程实施检疫监督的动植物及其产品，审查其运输、生产、加工、存放及处理等环节是否符合检疫防疫及监管条件，根据生产、加工企业的加工能力核定其进境数量;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（6）</w:t>
      </w:r>
      <w:r>
        <w:rPr>
          <w:rFonts w:ascii="方正仿宋简体" w:hAnsi="宋体" w:eastAsia="方正仿宋简体"/>
          <w:sz w:val="32"/>
          <w:szCs w:val="32"/>
        </w:rPr>
        <w:t>可以核销的进境动植物产品，应当按照有关规定审核其上一次审批的《检疫许可证》的使用、核销情况。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ascii="方正仿宋简体" w:hAnsi="宋体" w:eastAsia="方正仿宋简体"/>
          <w:sz w:val="32"/>
          <w:szCs w:val="32"/>
        </w:rPr>
        <w:t>初审合格的，由初审机构</w:t>
      </w:r>
      <w:r>
        <w:rPr>
          <w:rFonts w:hint="eastAsia" w:ascii="方正仿宋简体" w:hAnsi="宋体" w:eastAsia="方正仿宋简体"/>
          <w:sz w:val="32"/>
          <w:szCs w:val="32"/>
        </w:rPr>
        <w:t>（直属出入境检验检疫局）</w:t>
      </w:r>
      <w:r>
        <w:rPr>
          <w:rFonts w:ascii="方正仿宋简体" w:hAnsi="宋体" w:eastAsia="方正仿宋简体"/>
          <w:sz w:val="32"/>
          <w:szCs w:val="32"/>
        </w:rPr>
        <w:t>签署初审意见。对需要实施检疫监管的进境动植物产品，必要时出具对其生产加工存放单位的考核报告。由初审机构将所有材料上报国家质检总局审核。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ascii="方正仿宋简体" w:hAnsi="宋体" w:eastAsia="方正仿宋简体"/>
          <w:sz w:val="32"/>
          <w:szCs w:val="32"/>
        </w:rPr>
        <w:t>初审不合格的，将申请材料退回申请单位</w:t>
      </w:r>
      <w:r>
        <w:rPr>
          <w:rFonts w:hint="eastAsia" w:ascii="方正仿宋简体" w:hAnsi="宋体" w:eastAsia="方正仿宋简体"/>
          <w:sz w:val="32"/>
          <w:szCs w:val="32"/>
        </w:rPr>
        <w:t>并签发《检疫许可证申请未获准通知单》</w:t>
      </w:r>
      <w:r>
        <w:rPr>
          <w:rFonts w:ascii="方正仿宋简体" w:hAnsi="宋体" w:eastAsia="方正仿宋简体"/>
          <w:sz w:val="32"/>
          <w:szCs w:val="32"/>
        </w:rPr>
        <w:t>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ascii="方正仿宋简体" w:hAnsi="宋体" w:eastAsia="方正仿宋简体"/>
          <w:sz w:val="32"/>
          <w:szCs w:val="32"/>
        </w:rPr>
        <w:t>国家质检总局根据审核情况，自收到初审机构提交的初审材料之日起</w:t>
      </w:r>
      <w:r>
        <w:rPr>
          <w:rFonts w:hint="eastAsia" w:ascii="方正仿宋简体" w:hAnsi="宋体" w:eastAsia="方正仿宋简体"/>
          <w:sz w:val="32"/>
          <w:szCs w:val="32"/>
        </w:rPr>
        <w:t>10</w:t>
      </w:r>
      <w:r>
        <w:rPr>
          <w:rFonts w:ascii="方正仿宋简体" w:hAnsi="宋体" w:eastAsia="方正仿宋简体"/>
          <w:sz w:val="32"/>
          <w:szCs w:val="32"/>
        </w:rPr>
        <w:t>个工作日内签发《检疫许可证》或者《检疫许可证申请未获准通知单》。</w:t>
      </w:r>
    </w:p>
    <w:p>
      <w:pPr>
        <w:autoSpaceDN w:val="0"/>
        <w:spacing w:line="594" w:lineRule="exact"/>
        <w:ind w:firstLine="64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ascii="方正仿宋简体" w:hAnsi="宋体" w:eastAsia="方正仿宋简体"/>
          <w:sz w:val="32"/>
          <w:szCs w:val="32"/>
        </w:rPr>
        <w:t>同一申请单位对同一品种、同一输出国家或者地区、</w:t>
      </w:r>
      <w:r>
        <w:rPr>
          <w:rFonts w:hint="eastAsia" w:ascii="方正仿宋简体" w:hAnsi="宋体" w:eastAsia="方正仿宋简体"/>
          <w:sz w:val="32"/>
          <w:szCs w:val="32"/>
        </w:rPr>
        <w:t>拟从同一结关地入境的（特指肉类产品）</w:t>
      </w:r>
      <w:r>
        <w:rPr>
          <w:rFonts w:ascii="方正仿宋简体" w:hAnsi="宋体" w:eastAsia="方正仿宋简体"/>
          <w:sz w:val="32"/>
          <w:szCs w:val="32"/>
        </w:rPr>
        <w:t>一次只能</w:t>
      </w:r>
      <w:r>
        <w:rPr>
          <w:rFonts w:hint="eastAsia" w:ascii="方正仿宋简体" w:hAnsi="宋体" w:eastAsia="方正仿宋简体"/>
          <w:sz w:val="32"/>
          <w:szCs w:val="32"/>
        </w:rPr>
        <w:t>申请</w:t>
      </w:r>
      <w:r>
        <w:rPr>
          <w:rFonts w:ascii="方正仿宋简体" w:hAnsi="宋体" w:eastAsia="方正仿宋简体"/>
          <w:sz w:val="32"/>
          <w:szCs w:val="32"/>
        </w:rPr>
        <w:t>1份《检疫许可证》。</w:t>
      </w:r>
    </w:p>
    <w:p>
      <w:pPr>
        <w:autoSpaceDN w:val="0"/>
        <w:spacing w:line="594" w:lineRule="exact"/>
        <w:ind w:firstLine="640" w:firstLineChars="200"/>
        <w:rPr>
          <w:rFonts w:ascii="方正黑体简体" w:hAnsi="方正仿宋简体" w:eastAsia="方正黑体简体" w:cs="方正仿宋简体"/>
          <w:sz w:val="32"/>
          <w:szCs w:val="32"/>
        </w:rPr>
      </w:pPr>
      <w:r>
        <w:rPr>
          <w:rFonts w:hint="eastAsia" w:ascii="方正黑体简体" w:hAnsi="方正仿宋简体" w:eastAsia="方正黑体简体" w:cs="方正仿宋简体"/>
          <w:sz w:val="32"/>
          <w:szCs w:val="32"/>
        </w:rPr>
        <w:t>三、监督检查要求</w:t>
      </w:r>
    </w:p>
    <w:p>
      <w:pPr>
        <w:autoSpaceDN w:val="0"/>
        <w:spacing w:line="594" w:lineRule="exact"/>
        <w:ind w:firstLine="579" w:firstLineChars="181"/>
        <w:rPr>
          <w:rFonts w:ascii="方正仿宋简体" w:eastAsia="方正仿宋简体"/>
          <w:b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（办公厅统一制定）</w:t>
      </w:r>
    </w:p>
    <w:p>
      <w:pPr>
        <w:rPr>
          <w:rFonts w:ascii="Calibri" w:hAnsi="Calibri"/>
          <w:kern w:val="0"/>
        </w:rPr>
        <w:sectPr>
          <w:pgSz w:w="11906" w:h="16838"/>
          <w:pgMar w:top="1985" w:right="1474" w:bottom="1361" w:left="1474" w:header="851" w:footer="992" w:gutter="0"/>
          <w:cols w:space="425" w:num="1"/>
          <w:docGrid w:type="lines" w:linePitch="312" w:charSpace="0"/>
        </w:sectPr>
      </w:pPr>
    </w:p>
    <w:p>
      <w:pPr>
        <w:rPr>
          <w:rFonts w:ascii="方正黑体简体" w:hAnsi="Calibri" w:eastAsia="方正黑体简体"/>
          <w:kern w:val="0"/>
          <w:sz w:val="32"/>
        </w:rPr>
      </w:pPr>
      <w:r>
        <w:rPr>
          <w:rFonts w:hint="eastAsia" w:ascii="方正黑体简体" w:hAnsi="Calibri" w:eastAsia="方正黑体简体"/>
          <w:kern w:val="0"/>
          <w:sz w:val="32"/>
        </w:rPr>
        <w:t>附件</w:t>
      </w:r>
    </w:p>
    <w:p>
      <w:pPr>
        <w:rPr>
          <w:rFonts w:ascii="方正黑体简体" w:hAnsi="Calibri" w:eastAsia="方正黑体简体"/>
          <w:kern w:val="0"/>
          <w:sz w:val="32"/>
        </w:rPr>
      </w:pPr>
    </w:p>
    <w:p>
      <w:pPr>
        <w:rPr>
          <w:rFonts w:ascii="方正黑体简体" w:eastAsia="方正黑体简体"/>
          <w:sz w:val="48"/>
          <w:szCs w:val="32"/>
        </w:rPr>
      </w:pPr>
      <w:bookmarkStart w:id="0" w:name="_GoBack"/>
      <w:commentRangeStart w:id="0"/>
      <w:r>
        <w:object>
          <v:shape id="_x0000_i1025" o:spt="75" type="#_x0000_t75" style="height:417pt;width:415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  <w:bookmarkEnd w:id="0"/>
      <w:commentRangeEnd w:id="0"/>
      <w:r>
        <w:rPr>
          <w:rStyle w:val="9"/>
        </w:rPr>
        <w:commentReference w:id="0"/>
      </w:r>
    </w:p>
    <w:p>
      <w:pPr>
        <w:rPr>
          <w:rFonts w:ascii="方正黑体简体" w:eastAsia="方正黑体简体"/>
          <w:sz w:val="48"/>
          <w:szCs w:val="32"/>
        </w:rPr>
      </w:pPr>
    </w:p>
    <w:p>
      <w:pPr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说明：证书签发和未获准通知单均在系统内签发，申请人可在审批系统内查看。</w:t>
      </w:r>
    </w:p>
    <w:p>
      <w:pPr>
        <w:rPr>
          <w:rFonts w:ascii="方正黑体简体" w:eastAsia="方正黑体简体"/>
          <w:color w:val="auto"/>
          <w:sz w:val="48"/>
          <w:szCs w:val="32"/>
        </w:rPr>
      </w:pPr>
    </w:p>
    <w:p>
      <w:pPr>
        <w:rPr>
          <w:rFonts w:ascii="方正黑体简体" w:eastAsia="方正黑体简体"/>
          <w:sz w:val="48"/>
          <w:szCs w:val="32"/>
        </w:rPr>
        <w:sectPr>
          <w:pgSz w:w="11906" w:h="16838"/>
          <w:pgMar w:top="1985" w:right="1474" w:bottom="1361" w:left="1474" w:header="851" w:footer="992" w:gutter="0"/>
          <w:cols w:space="425" w:num="1"/>
          <w:docGrid w:type="lines" w:linePitch="312" w:charSpace="0"/>
        </w:sectPr>
      </w:pPr>
    </w:p>
    <w:p>
      <w:pPr>
        <w:pStyle w:val="7"/>
        <w:widowControl/>
        <w:spacing w:line="360" w:lineRule="auto"/>
        <w:rPr>
          <w:rFonts w:ascii="方正黑体简体" w:hAnsi="宋体" w:eastAsia="方正黑体简体" w:cs="宋体"/>
          <w:sz w:val="32"/>
          <w:szCs w:val="32"/>
        </w:rPr>
      </w:pPr>
      <w:r>
        <w:rPr>
          <w:rFonts w:hint="eastAsia" w:ascii="方正黑体简体" w:hAnsi="宋体" w:eastAsia="方正黑体简体" w:cs="宋体"/>
          <w:sz w:val="32"/>
          <w:szCs w:val="32"/>
        </w:rPr>
        <w:t>表1</w:t>
      </w:r>
    </w:p>
    <w:p>
      <w:pPr>
        <w:pStyle w:val="7"/>
        <w:widowControl/>
        <w:spacing w:line="360" w:lineRule="auto"/>
        <w:jc w:val="center"/>
        <w:rPr>
          <w:rFonts w:ascii="方正小标宋简体" w:hAnsi="宋体" w:eastAsia="方正小标宋简体" w:cs="微软雅黑"/>
          <w:sz w:val="36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32"/>
        </w:rPr>
        <w:t>（进境动植物</w:t>
      </w:r>
      <w:r>
        <w:rPr>
          <w:rFonts w:hint="eastAsia" w:ascii="方正小标宋简体" w:hAnsi="宋体" w:eastAsia="方正小标宋简体" w:cs="微软雅黑"/>
          <w:sz w:val="36"/>
          <w:szCs w:val="32"/>
        </w:rPr>
        <w:t>检疫许可证）行政审批经办人审查表</w:t>
      </w:r>
    </w:p>
    <w:p>
      <w:pPr>
        <w:pStyle w:val="7"/>
        <w:widowControl/>
        <w:spacing w:line="360" w:lineRule="auto"/>
        <w:jc w:val="center"/>
        <w:rPr>
          <w:rFonts w:ascii="方正小标宋简体" w:hAnsi="宋体" w:eastAsia="方正小标宋简体" w:cs="宋体"/>
          <w:sz w:val="36"/>
          <w:szCs w:val="32"/>
        </w:rPr>
      </w:pPr>
    </w:p>
    <w:tbl>
      <w:tblPr>
        <w:tblStyle w:val="10"/>
        <w:tblW w:w="13751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19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审查经办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微软雅黑"/>
                <w:sz w:val="24"/>
                <w:szCs w:val="24"/>
              </w:rPr>
              <w:t>进境（过境）动植物及其产品检疫审批</w:t>
            </w:r>
            <w:r>
              <w:rPr>
                <w:rFonts w:hint="eastAsia" w:ascii="宋体" w:hAnsi="宋体" w:cs="宋体"/>
                <w:sz w:val="24"/>
                <w:szCs w:val="24"/>
              </w:rPr>
              <w:t>审查要求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环节名称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直属局处（室）经办人受理、初审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审查司（局）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直属局业务处室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责任人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动（植）检处、食品处负责人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职责和权限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1.申请材料符合要求的予以受理；</w:t>
            </w:r>
          </w:p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2.按照规定进行初审；</w:t>
            </w:r>
          </w:p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3.初审通过的，将申请提交质检总局食品局；初审未通过的签发《检疫许可证申请未获批准通知单》</w:t>
            </w:r>
          </w:p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4.申请材料不齐全或者不符合法定形式的，应在收到随附单证当场或5日内，一次告知申请单位。；</w:t>
            </w:r>
          </w:p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5.受理和初审应在5个工作日内办结。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审查内容</w:t>
            </w:r>
          </w:p>
        </w:tc>
        <w:tc>
          <w:tcPr>
            <w:tcW w:w="11907" w:type="dxa"/>
          </w:tcPr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申请单位提交的材料是否齐全，是否符合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质检总局第25号令</w:t>
            </w:r>
            <w:r>
              <w:rPr>
                <w:rFonts w:ascii="宋体" w:hAnsi="宋体" w:cs="宋体"/>
                <w:sz w:val="24"/>
                <w:szCs w:val="24"/>
              </w:rPr>
              <w:t>第四条、第六条的规定；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输出和途经国家或者地区有无相关的动植物疫情；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是否符合中国有关动植物检疫法律法规和部门规章的规定；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是否符合中国与输出国家或者地区签订的双边检疫协定（包括检疫协议、议定书、备忘录等）；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进境后需要对生产、加工过程实施检疫监督的动植物及其产品，审查其运输、生产、加工、存放及处理等环节是否符合检疫防疫及监管条件，根据生产、加工企业的加工能力核定其进境数量；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可以核销的进境动植物产品，应当按照有关规定审核其上一次审批的《检疫许可证》的使用、核销情况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7.申请乳制品进口的，应审核申请检验审批的产品的原产国是否已获得我国乳品准入、境外生产企业是否获得认监委注册、注册产品范围中是否包括申请检疫审批的产品、进口企业是否有不良记录。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审查方式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审查书面材料和电子文本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审查程序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签收申请材料――审查申请材料――提出审查意见及理由――发送至处领导审核――完成网上意见填报和提交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审查结论确定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numPr>
                <w:ilvl w:val="0"/>
                <w:numId w:val="1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申请材料完整、符合相关规定，提出符合本许可条件的审查意见；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提交的申请材料不完整的，将申请材料退回申请人进行补正后，再次进行审查；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审查不合格，提出不符合许可条件的审查意见。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审查期限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5个工作日内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相关文书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1、检疫许可证申请单</w:t>
            </w:r>
          </w:p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2、随附材料：（见相关文书）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spacing w:line="360" w:lineRule="auto"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备注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pStyle w:val="7"/>
        <w:widowControl/>
        <w:spacing w:line="360" w:lineRule="auto"/>
        <w:rPr>
          <w:rFonts w:ascii="方正黑体简体" w:hAnsi="宋体" w:eastAsia="方正黑体简体" w:cs="宋体"/>
          <w:sz w:val="32"/>
          <w:szCs w:val="32"/>
        </w:rPr>
        <w:sectPr>
          <w:pgSz w:w="16838" w:h="11906" w:orient="landscape"/>
          <w:pgMar w:top="1474" w:right="1985" w:bottom="1474" w:left="1361" w:header="851" w:footer="992" w:gutter="0"/>
          <w:cols w:space="425" w:num="1"/>
          <w:docGrid w:type="lines" w:linePitch="312" w:charSpace="0"/>
        </w:sectPr>
      </w:pPr>
    </w:p>
    <w:p>
      <w:pPr>
        <w:pStyle w:val="7"/>
        <w:widowControl/>
        <w:spacing w:line="360" w:lineRule="auto"/>
        <w:rPr>
          <w:rFonts w:ascii="方正黑体简体" w:hAnsi="宋体" w:eastAsia="方正黑体简体" w:cs="宋体"/>
          <w:sz w:val="32"/>
          <w:szCs w:val="32"/>
        </w:rPr>
      </w:pPr>
      <w:r>
        <w:rPr>
          <w:rFonts w:hint="eastAsia" w:ascii="方正黑体简体" w:hAnsi="宋体" w:eastAsia="方正黑体简体" w:cs="宋体"/>
          <w:sz w:val="32"/>
          <w:szCs w:val="32"/>
        </w:rPr>
        <w:t>表2</w:t>
      </w:r>
    </w:p>
    <w:p>
      <w:pPr>
        <w:pStyle w:val="7"/>
        <w:widowControl/>
        <w:spacing w:line="360" w:lineRule="auto"/>
        <w:jc w:val="center"/>
        <w:rPr>
          <w:rFonts w:ascii="方正小标宋简体" w:hAnsi="宋体" w:eastAsia="方正小标宋简体" w:cs="微软雅黑"/>
          <w:sz w:val="36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32"/>
        </w:rPr>
        <w:t xml:space="preserve"> （进境动植物</w:t>
      </w:r>
      <w:r>
        <w:rPr>
          <w:rFonts w:hint="eastAsia" w:ascii="方正小标宋简体" w:hAnsi="宋体" w:eastAsia="方正小标宋简体" w:cs="微软雅黑"/>
          <w:sz w:val="36"/>
          <w:szCs w:val="32"/>
        </w:rPr>
        <w:t>检疫许可证）行政审批经办人审查表</w:t>
      </w:r>
    </w:p>
    <w:p>
      <w:pPr>
        <w:pStyle w:val="7"/>
        <w:widowControl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</w:p>
    <w:tbl>
      <w:tblPr>
        <w:tblStyle w:val="10"/>
        <w:tblW w:w="13751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19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审查经办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微软雅黑"/>
                <w:sz w:val="24"/>
                <w:szCs w:val="24"/>
              </w:rPr>
              <w:t>进境（过境）动植物及其产品检疫审批</w:t>
            </w:r>
            <w:r>
              <w:rPr>
                <w:rFonts w:hint="eastAsia" w:ascii="宋体" w:hAnsi="宋体" w:cs="宋体"/>
                <w:sz w:val="24"/>
                <w:szCs w:val="24"/>
              </w:rPr>
              <w:t>审查要求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环节名称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质检总局处（室）人员审核、批准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审查司（局）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质检总局食品局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责任人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食品局食品安全一处、食品安全二处、食品安全四处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职责和权限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在10个工作日内完成申请材料的审查；</w:t>
            </w:r>
          </w:p>
          <w:p>
            <w:pPr>
              <w:pStyle w:val="7"/>
              <w:widowControl/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申请材料符合要求的，予以许可；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审查内容</w:t>
            </w:r>
          </w:p>
        </w:tc>
        <w:tc>
          <w:tcPr>
            <w:tcW w:w="11907" w:type="dxa"/>
          </w:tcPr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</w:t>
            </w:r>
            <w:r>
              <w:rPr>
                <w:rFonts w:ascii="宋体" w:hAnsi="宋体" w:cs="宋体"/>
                <w:sz w:val="24"/>
                <w:szCs w:val="24"/>
              </w:rPr>
              <w:t>申请单位提交的材料是否齐全，是否符合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质检总局第25号令</w:t>
            </w:r>
            <w:r>
              <w:rPr>
                <w:rFonts w:ascii="宋体" w:hAnsi="宋体" w:cs="宋体"/>
                <w:sz w:val="24"/>
                <w:szCs w:val="24"/>
              </w:rPr>
              <w:t>第四条、第六条的规定；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</w:t>
            </w:r>
            <w:r>
              <w:rPr>
                <w:rFonts w:ascii="宋体" w:hAnsi="宋体" w:cs="宋体"/>
                <w:sz w:val="24"/>
                <w:szCs w:val="24"/>
              </w:rPr>
              <w:t>输出和途经国家或者地区有无相关的动植物疫情；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3、</w:t>
            </w:r>
            <w:r>
              <w:rPr>
                <w:rFonts w:ascii="宋体" w:hAnsi="宋体" w:cs="宋体"/>
                <w:sz w:val="24"/>
                <w:szCs w:val="24"/>
              </w:rPr>
              <w:t>是否符合中国有关动植物检疫法律法规和部门规章的规定；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4、</w:t>
            </w:r>
            <w:r>
              <w:rPr>
                <w:rFonts w:ascii="宋体" w:hAnsi="宋体" w:cs="宋体"/>
                <w:sz w:val="24"/>
                <w:szCs w:val="24"/>
              </w:rPr>
              <w:t>是否符合中国与输出国家或者地区签订的双边检疫协定（包括检疫协议、议定书、备忘录等）；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5、</w:t>
            </w:r>
            <w:r>
              <w:rPr>
                <w:rFonts w:ascii="宋体" w:hAnsi="宋体" w:cs="宋体"/>
                <w:sz w:val="24"/>
                <w:szCs w:val="24"/>
              </w:rPr>
              <w:t>进境后需要对生产、加工过程实施检疫监督的动植物及其产品，审查其运输、生产、加工、存放及处理等环节是否符合检疫防疫及监管条件，根据生产、加工企业的加工能力核定其进境数量；</w:t>
            </w:r>
          </w:p>
          <w:p>
            <w:pPr>
              <w:pStyle w:val="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6、</w:t>
            </w:r>
            <w:r>
              <w:rPr>
                <w:rFonts w:ascii="宋体" w:hAnsi="宋体" w:cs="宋体"/>
                <w:sz w:val="24"/>
                <w:szCs w:val="24"/>
              </w:rPr>
              <w:t>可以核销的进境动植物产品，应当按照有关规定审核其上一次审批的《检疫许可证》的使用、核销情况。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审查方式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审查电子文本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审查程序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审查申请材料――提出审查意见及理由――发送至处领导审核――完成网上意见填报和签发检疫许可证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审查结论确定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numPr>
                <w:ilvl w:val="0"/>
                <w:numId w:val="3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申请材料完整、符合相关规定，准予许可并签发检疫许可证；</w:t>
            </w:r>
          </w:p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2、审查不合格，不予许可，并提出不符合许可条件的审查意见。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审查期限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10个工作日内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相关文书</w:t>
            </w:r>
          </w:p>
        </w:tc>
        <w:tc>
          <w:tcPr>
            <w:tcW w:w="11907" w:type="dxa"/>
          </w:tcPr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1、检疫许可证申请单</w:t>
            </w:r>
          </w:p>
          <w:p>
            <w:pPr>
              <w:pStyle w:val="7"/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2、随附电子材料：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pStyle w:val="7"/>
              <w:widowControl/>
              <w:jc w:val="center"/>
              <w:rPr>
                <w:rFonts w:ascii="方正黑体简体" w:hAnsi="宋体" w:eastAsia="方正黑体简体" w:cs="宋体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sz w:val="24"/>
                <w:szCs w:val="24"/>
              </w:rPr>
              <w:t>备注</w:t>
            </w:r>
          </w:p>
        </w:tc>
        <w:tc>
          <w:tcPr>
            <w:tcW w:w="11907" w:type="dxa"/>
          </w:tcPr>
          <w:p>
            <w:pPr>
              <w:jc w:val="left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乳制品审批已授权直属局批准，食品安全三处暂无行政审批职能。</w:t>
            </w:r>
          </w:p>
        </w:tc>
      </w:tr>
    </w:tbl>
    <w:p/>
    <w:sectPr>
      <w:pgSz w:w="16838" w:h="11906" w:orient="landscape"/>
      <w:pgMar w:top="1474" w:right="1985" w:bottom="1474" w:left="1361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高子岳" w:date="2017-05-07T20:35:00Z" w:initials="gzy">
    <w:p>
      <w:pPr>
        <w:pStyle w:val="3"/>
      </w:pPr>
      <w:r>
        <w:rPr>
          <w:rFonts w:hint="eastAsia"/>
        </w:rPr>
        <w:t>流程符使用有误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96CD6"/>
    <w:multiLevelType w:val="multilevel"/>
    <w:tmpl w:val="34A96CD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003265"/>
    <w:multiLevelType w:val="multilevel"/>
    <w:tmpl w:val="6000326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B90D63"/>
    <w:multiLevelType w:val="multilevel"/>
    <w:tmpl w:val="7CB90D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FF1"/>
    <w:rsid w:val="00005211"/>
    <w:rsid w:val="00013661"/>
    <w:rsid w:val="00013F51"/>
    <w:rsid w:val="0001743C"/>
    <w:rsid w:val="00022F50"/>
    <w:rsid w:val="00040238"/>
    <w:rsid w:val="00040751"/>
    <w:rsid w:val="00041233"/>
    <w:rsid w:val="000561BE"/>
    <w:rsid w:val="00073B5C"/>
    <w:rsid w:val="00076F52"/>
    <w:rsid w:val="00091F0E"/>
    <w:rsid w:val="0009632C"/>
    <w:rsid w:val="0009710B"/>
    <w:rsid w:val="000A4529"/>
    <w:rsid w:val="000A51B1"/>
    <w:rsid w:val="000C0998"/>
    <w:rsid w:val="000C37C2"/>
    <w:rsid w:val="000C6FA6"/>
    <w:rsid w:val="000C78D2"/>
    <w:rsid w:val="000D5346"/>
    <w:rsid w:val="000D6C7F"/>
    <w:rsid w:val="000E6426"/>
    <w:rsid w:val="000F6A6D"/>
    <w:rsid w:val="001000BA"/>
    <w:rsid w:val="00102862"/>
    <w:rsid w:val="001115B9"/>
    <w:rsid w:val="00112639"/>
    <w:rsid w:val="0012426F"/>
    <w:rsid w:val="00133E31"/>
    <w:rsid w:val="00135A3D"/>
    <w:rsid w:val="0014375F"/>
    <w:rsid w:val="00153BCB"/>
    <w:rsid w:val="00183DD4"/>
    <w:rsid w:val="00186B98"/>
    <w:rsid w:val="00193A05"/>
    <w:rsid w:val="001957CD"/>
    <w:rsid w:val="001A0236"/>
    <w:rsid w:val="001A1F5D"/>
    <w:rsid w:val="001A4A90"/>
    <w:rsid w:val="001A5508"/>
    <w:rsid w:val="001A6620"/>
    <w:rsid w:val="001A7FFC"/>
    <w:rsid w:val="001C026E"/>
    <w:rsid w:val="001C49DF"/>
    <w:rsid w:val="001D0F45"/>
    <w:rsid w:val="001D564D"/>
    <w:rsid w:val="001E6758"/>
    <w:rsid w:val="00203040"/>
    <w:rsid w:val="00203AFD"/>
    <w:rsid w:val="00211394"/>
    <w:rsid w:val="00211996"/>
    <w:rsid w:val="002124A7"/>
    <w:rsid w:val="0023614A"/>
    <w:rsid w:val="002401A5"/>
    <w:rsid w:val="00243EFC"/>
    <w:rsid w:val="0025465B"/>
    <w:rsid w:val="00255572"/>
    <w:rsid w:val="0025747A"/>
    <w:rsid w:val="00263231"/>
    <w:rsid w:val="0026736E"/>
    <w:rsid w:val="00267399"/>
    <w:rsid w:val="00274FFE"/>
    <w:rsid w:val="00276FC7"/>
    <w:rsid w:val="00281339"/>
    <w:rsid w:val="00287D5F"/>
    <w:rsid w:val="00292478"/>
    <w:rsid w:val="002A16E8"/>
    <w:rsid w:val="002A560A"/>
    <w:rsid w:val="002A6ACB"/>
    <w:rsid w:val="002B1650"/>
    <w:rsid w:val="002B2DF2"/>
    <w:rsid w:val="002B3A03"/>
    <w:rsid w:val="002C035D"/>
    <w:rsid w:val="002C1758"/>
    <w:rsid w:val="002C52C5"/>
    <w:rsid w:val="002C6D54"/>
    <w:rsid w:val="002D0C8E"/>
    <w:rsid w:val="002E469F"/>
    <w:rsid w:val="002F1421"/>
    <w:rsid w:val="002F2525"/>
    <w:rsid w:val="00300639"/>
    <w:rsid w:val="003042A6"/>
    <w:rsid w:val="003163E6"/>
    <w:rsid w:val="00316612"/>
    <w:rsid w:val="00330A27"/>
    <w:rsid w:val="00332533"/>
    <w:rsid w:val="00381F78"/>
    <w:rsid w:val="0038604E"/>
    <w:rsid w:val="003B43FC"/>
    <w:rsid w:val="003B5F3C"/>
    <w:rsid w:val="003B6AFD"/>
    <w:rsid w:val="003C32B4"/>
    <w:rsid w:val="003C7F38"/>
    <w:rsid w:val="00401F70"/>
    <w:rsid w:val="00402345"/>
    <w:rsid w:val="00415522"/>
    <w:rsid w:val="00416B02"/>
    <w:rsid w:val="00424B8F"/>
    <w:rsid w:val="004363A5"/>
    <w:rsid w:val="00444D43"/>
    <w:rsid w:val="00445F0A"/>
    <w:rsid w:val="00452B3B"/>
    <w:rsid w:val="00456202"/>
    <w:rsid w:val="00456415"/>
    <w:rsid w:val="00460236"/>
    <w:rsid w:val="00473167"/>
    <w:rsid w:val="00473E37"/>
    <w:rsid w:val="004823BF"/>
    <w:rsid w:val="00482FBD"/>
    <w:rsid w:val="004921C5"/>
    <w:rsid w:val="00495008"/>
    <w:rsid w:val="004B0722"/>
    <w:rsid w:val="004B1337"/>
    <w:rsid w:val="004C535D"/>
    <w:rsid w:val="004D474F"/>
    <w:rsid w:val="004D5183"/>
    <w:rsid w:val="0050418E"/>
    <w:rsid w:val="00505C15"/>
    <w:rsid w:val="005106D8"/>
    <w:rsid w:val="00516C01"/>
    <w:rsid w:val="00517E88"/>
    <w:rsid w:val="00535FF1"/>
    <w:rsid w:val="00547F90"/>
    <w:rsid w:val="00552941"/>
    <w:rsid w:val="005702C1"/>
    <w:rsid w:val="00582C77"/>
    <w:rsid w:val="005A28D6"/>
    <w:rsid w:val="005B00C1"/>
    <w:rsid w:val="005B56E9"/>
    <w:rsid w:val="005C06DC"/>
    <w:rsid w:val="005C3377"/>
    <w:rsid w:val="005C6C08"/>
    <w:rsid w:val="005E1716"/>
    <w:rsid w:val="005E7C2B"/>
    <w:rsid w:val="005F144B"/>
    <w:rsid w:val="005F7D64"/>
    <w:rsid w:val="0060455B"/>
    <w:rsid w:val="006140CA"/>
    <w:rsid w:val="00622EB1"/>
    <w:rsid w:val="00640208"/>
    <w:rsid w:val="006458A8"/>
    <w:rsid w:val="00645DF9"/>
    <w:rsid w:val="0065478C"/>
    <w:rsid w:val="00657BFB"/>
    <w:rsid w:val="00660D82"/>
    <w:rsid w:val="00662A96"/>
    <w:rsid w:val="0067420C"/>
    <w:rsid w:val="00680FA4"/>
    <w:rsid w:val="006954BE"/>
    <w:rsid w:val="006A5506"/>
    <w:rsid w:val="006B07B5"/>
    <w:rsid w:val="006B76BE"/>
    <w:rsid w:val="006D0DE6"/>
    <w:rsid w:val="006D40DE"/>
    <w:rsid w:val="006E01DD"/>
    <w:rsid w:val="006E43EB"/>
    <w:rsid w:val="006E7255"/>
    <w:rsid w:val="006F0FCA"/>
    <w:rsid w:val="007001EA"/>
    <w:rsid w:val="007056A1"/>
    <w:rsid w:val="007163A1"/>
    <w:rsid w:val="0071777D"/>
    <w:rsid w:val="007179BD"/>
    <w:rsid w:val="0072399C"/>
    <w:rsid w:val="007356FB"/>
    <w:rsid w:val="00740649"/>
    <w:rsid w:val="00741822"/>
    <w:rsid w:val="00743A4C"/>
    <w:rsid w:val="00744478"/>
    <w:rsid w:val="00744F25"/>
    <w:rsid w:val="0074636B"/>
    <w:rsid w:val="007514C3"/>
    <w:rsid w:val="00755DC1"/>
    <w:rsid w:val="007653C3"/>
    <w:rsid w:val="007751E3"/>
    <w:rsid w:val="007754E9"/>
    <w:rsid w:val="007772C8"/>
    <w:rsid w:val="00783072"/>
    <w:rsid w:val="0079560F"/>
    <w:rsid w:val="007A32C2"/>
    <w:rsid w:val="007D16BF"/>
    <w:rsid w:val="007D4BF4"/>
    <w:rsid w:val="007D7C76"/>
    <w:rsid w:val="007E3541"/>
    <w:rsid w:val="007E47F7"/>
    <w:rsid w:val="007F3C75"/>
    <w:rsid w:val="00810964"/>
    <w:rsid w:val="00812908"/>
    <w:rsid w:val="00840EEF"/>
    <w:rsid w:val="00841DFC"/>
    <w:rsid w:val="008564C2"/>
    <w:rsid w:val="00860658"/>
    <w:rsid w:val="00867069"/>
    <w:rsid w:val="0087392F"/>
    <w:rsid w:val="00875F16"/>
    <w:rsid w:val="00884F45"/>
    <w:rsid w:val="00885811"/>
    <w:rsid w:val="00886B8F"/>
    <w:rsid w:val="00891469"/>
    <w:rsid w:val="00893CF1"/>
    <w:rsid w:val="008A7848"/>
    <w:rsid w:val="008B1C3B"/>
    <w:rsid w:val="008B349A"/>
    <w:rsid w:val="008B58D6"/>
    <w:rsid w:val="008C00B1"/>
    <w:rsid w:val="008C6B73"/>
    <w:rsid w:val="008D32E7"/>
    <w:rsid w:val="008D3B00"/>
    <w:rsid w:val="008D4908"/>
    <w:rsid w:val="008E5612"/>
    <w:rsid w:val="008F2CB7"/>
    <w:rsid w:val="008F52C2"/>
    <w:rsid w:val="00905FF8"/>
    <w:rsid w:val="0090672B"/>
    <w:rsid w:val="00922F01"/>
    <w:rsid w:val="00930651"/>
    <w:rsid w:val="009408DA"/>
    <w:rsid w:val="00954777"/>
    <w:rsid w:val="00957891"/>
    <w:rsid w:val="0097130B"/>
    <w:rsid w:val="00982E09"/>
    <w:rsid w:val="009879C4"/>
    <w:rsid w:val="009903BF"/>
    <w:rsid w:val="00994B3C"/>
    <w:rsid w:val="00997D4F"/>
    <w:rsid w:val="009A47BE"/>
    <w:rsid w:val="009A5C97"/>
    <w:rsid w:val="009A649C"/>
    <w:rsid w:val="009A6C17"/>
    <w:rsid w:val="009B28E2"/>
    <w:rsid w:val="009B53CD"/>
    <w:rsid w:val="009B5894"/>
    <w:rsid w:val="009B740B"/>
    <w:rsid w:val="009C4EF0"/>
    <w:rsid w:val="009C6E0C"/>
    <w:rsid w:val="009F3135"/>
    <w:rsid w:val="00A03045"/>
    <w:rsid w:val="00A10A4C"/>
    <w:rsid w:val="00A205E3"/>
    <w:rsid w:val="00A553BE"/>
    <w:rsid w:val="00A60284"/>
    <w:rsid w:val="00A826AA"/>
    <w:rsid w:val="00A838A2"/>
    <w:rsid w:val="00A864EE"/>
    <w:rsid w:val="00AA05C3"/>
    <w:rsid w:val="00AA2EFC"/>
    <w:rsid w:val="00AB59DF"/>
    <w:rsid w:val="00AB71C4"/>
    <w:rsid w:val="00AC0438"/>
    <w:rsid w:val="00AE5F92"/>
    <w:rsid w:val="00AF7F53"/>
    <w:rsid w:val="00B05EC7"/>
    <w:rsid w:val="00B10703"/>
    <w:rsid w:val="00B16D77"/>
    <w:rsid w:val="00B26DEC"/>
    <w:rsid w:val="00B308A7"/>
    <w:rsid w:val="00B33DA7"/>
    <w:rsid w:val="00B33EA6"/>
    <w:rsid w:val="00B34189"/>
    <w:rsid w:val="00B356B1"/>
    <w:rsid w:val="00B468D0"/>
    <w:rsid w:val="00B54EF6"/>
    <w:rsid w:val="00B6058E"/>
    <w:rsid w:val="00B60DF2"/>
    <w:rsid w:val="00B728C8"/>
    <w:rsid w:val="00B77710"/>
    <w:rsid w:val="00B80AC8"/>
    <w:rsid w:val="00B87188"/>
    <w:rsid w:val="00B92722"/>
    <w:rsid w:val="00BA5ACF"/>
    <w:rsid w:val="00BA6FA9"/>
    <w:rsid w:val="00BC7B60"/>
    <w:rsid w:val="00BD1F8D"/>
    <w:rsid w:val="00BD227D"/>
    <w:rsid w:val="00BD489C"/>
    <w:rsid w:val="00BD6A65"/>
    <w:rsid w:val="00BF05E8"/>
    <w:rsid w:val="00BF174A"/>
    <w:rsid w:val="00BF22C8"/>
    <w:rsid w:val="00C0522D"/>
    <w:rsid w:val="00C11283"/>
    <w:rsid w:val="00C112CA"/>
    <w:rsid w:val="00C1745F"/>
    <w:rsid w:val="00C26ED0"/>
    <w:rsid w:val="00C32982"/>
    <w:rsid w:val="00C36372"/>
    <w:rsid w:val="00C43EEE"/>
    <w:rsid w:val="00C56DB0"/>
    <w:rsid w:val="00C578A5"/>
    <w:rsid w:val="00C741E0"/>
    <w:rsid w:val="00C81C99"/>
    <w:rsid w:val="00C84D3D"/>
    <w:rsid w:val="00C95274"/>
    <w:rsid w:val="00CB5957"/>
    <w:rsid w:val="00CC5EAC"/>
    <w:rsid w:val="00CD66FC"/>
    <w:rsid w:val="00CE769E"/>
    <w:rsid w:val="00CF25DA"/>
    <w:rsid w:val="00CF674A"/>
    <w:rsid w:val="00D01663"/>
    <w:rsid w:val="00D02480"/>
    <w:rsid w:val="00D03560"/>
    <w:rsid w:val="00D12251"/>
    <w:rsid w:val="00D2526C"/>
    <w:rsid w:val="00D33852"/>
    <w:rsid w:val="00D40116"/>
    <w:rsid w:val="00D4117F"/>
    <w:rsid w:val="00D41DAE"/>
    <w:rsid w:val="00D509A3"/>
    <w:rsid w:val="00D531F7"/>
    <w:rsid w:val="00D60FEC"/>
    <w:rsid w:val="00D82E07"/>
    <w:rsid w:val="00D859B0"/>
    <w:rsid w:val="00DA00DC"/>
    <w:rsid w:val="00DA509F"/>
    <w:rsid w:val="00DA53B9"/>
    <w:rsid w:val="00DB40B2"/>
    <w:rsid w:val="00DB74F0"/>
    <w:rsid w:val="00DC4EAD"/>
    <w:rsid w:val="00DC5123"/>
    <w:rsid w:val="00DE605A"/>
    <w:rsid w:val="00DE7F25"/>
    <w:rsid w:val="00DF4F65"/>
    <w:rsid w:val="00DF5D64"/>
    <w:rsid w:val="00E05D82"/>
    <w:rsid w:val="00E0796E"/>
    <w:rsid w:val="00E07DB2"/>
    <w:rsid w:val="00E14640"/>
    <w:rsid w:val="00E21FE2"/>
    <w:rsid w:val="00E35281"/>
    <w:rsid w:val="00E556CD"/>
    <w:rsid w:val="00E7273E"/>
    <w:rsid w:val="00E92E2E"/>
    <w:rsid w:val="00EA25A0"/>
    <w:rsid w:val="00EA3B91"/>
    <w:rsid w:val="00EA4436"/>
    <w:rsid w:val="00EA5FFD"/>
    <w:rsid w:val="00EA610E"/>
    <w:rsid w:val="00EA66E8"/>
    <w:rsid w:val="00EC7EB9"/>
    <w:rsid w:val="00ED30CA"/>
    <w:rsid w:val="00ED5ED2"/>
    <w:rsid w:val="00EF322E"/>
    <w:rsid w:val="00EF5A1B"/>
    <w:rsid w:val="00F10A79"/>
    <w:rsid w:val="00F11B56"/>
    <w:rsid w:val="00F149CA"/>
    <w:rsid w:val="00F5563A"/>
    <w:rsid w:val="00F60748"/>
    <w:rsid w:val="00F60F1C"/>
    <w:rsid w:val="00F66A44"/>
    <w:rsid w:val="00F70CA8"/>
    <w:rsid w:val="00F77020"/>
    <w:rsid w:val="00F7749D"/>
    <w:rsid w:val="00F90BC8"/>
    <w:rsid w:val="00F93785"/>
    <w:rsid w:val="00F939A3"/>
    <w:rsid w:val="00FA0A9B"/>
    <w:rsid w:val="00FB61FC"/>
    <w:rsid w:val="00FC4FE5"/>
    <w:rsid w:val="00FD34CA"/>
    <w:rsid w:val="00FE358D"/>
    <w:rsid w:val="00FF1092"/>
    <w:rsid w:val="55AF3376"/>
    <w:rsid w:val="63A124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unhideWhenUsed/>
    <w:qFormat/>
    <w:uiPriority w:val="99"/>
    <w:rPr>
      <w:b/>
      <w:bCs/>
    </w:r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0"/>
    <w:pPr>
      <w:jc w:val="left"/>
    </w:pPr>
    <w:rPr>
      <w:kern w:val="0"/>
      <w:sz w:val="18"/>
      <w:szCs w:val="18"/>
    </w:rPr>
  </w:style>
  <w:style w:type="character" w:styleId="9">
    <w:name w:val="annotation reference"/>
    <w:basedOn w:val="8"/>
    <w:unhideWhenUsed/>
    <w:uiPriority w:val="99"/>
    <w:rPr>
      <w:sz w:val="21"/>
      <w:szCs w:val="21"/>
    </w:rPr>
  </w:style>
  <w:style w:type="character" w:customStyle="1" w:styleId="11">
    <w:name w:val="页眉 Char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Char"/>
    <w:basedOn w:val="8"/>
    <w:link w:val="3"/>
    <w:semiHidden/>
    <w:uiPriority w:val="99"/>
    <w:rPr>
      <w:rFonts w:ascii="Times New Roman" w:hAnsi="Times New Roman" w:eastAsia="宋体" w:cs="Times New Roman"/>
      <w:szCs w:val="20"/>
    </w:rPr>
  </w:style>
  <w:style w:type="character" w:customStyle="1" w:styleId="15">
    <w:name w:val="批注主题 Char"/>
    <w:basedOn w:val="14"/>
    <w:link w:val="2"/>
    <w:semiHidden/>
    <w:qFormat/>
    <w:uiPriority w:val="99"/>
    <w:rPr>
      <w:rFonts w:ascii="Times New Roman" w:hAnsi="Times New Roman" w:eastAsia="宋体" w:cs="Times New Roman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466</Words>
  <Characters>2660</Characters>
  <Lines>22</Lines>
  <Paragraphs>6</Paragraphs>
  <ScaleCrop>false</ScaleCrop>
  <LinksUpToDate>false</LinksUpToDate>
  <CharactersWithSpaces>3120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2015-11-06T11:28:00Z</dcterms:created>
  <dc:creator>周苑</dc:creator>
  <cp:lastModifiedBy>GuoZhiFeng</cp:lastModifiedBy>
  <dcterms:modified xsi:type="dcterms:W3CDTF">2017-07-05T09:03:30Z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